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68" w:rsidRPr="003F6186" w:rsidRDefault="00814080" w:rsidP="00D17FAD">
      <w:pPr>
        <w:jc w:val="center"/>
        <w:rPr>
          <w:b/>
          <w:sz w:val="32"/>
          <w:u w:val="single"/>
        </w:rPr>
      </w:pPr>
      <w:r w:rsidRPr="003F6186">
        <w:rPr>
          <w:b/>
          <w:sz w:val="32"/>
          <w:u w:val="single"/>
        </w:rPr>
        <w:t xml:space="preserve">Options des </w:t>
      </w:r>
      <w:proofErr w:type="spellStart"/>
      <w:r w:rsidRPr="003F6186">
        <w:rPr>
          <w:b/>
          <w:sz w:val="32"/>
          <w:u w:val="single"/>
        </w:rPr>
        <w:t>DES</w:t>
      </w:r>
      <w:proofErr w:type="spellEnd"/>
      <w:r w:rsidR="00A971BE" w:rsidRPr="003F6186">
        <w:rPr>
          <w:b/>
          <w:sz w:val="32"/>
          <w:u w:val="single"/>
        </w:rPr>
        <w:t xml:space="preserve"> (+ note sur </w:t>
      </w:r>
      <w:r w:rsidR="002535F6" w:rsidRPr="003F6186">
        <w:rPr>
          <w:b/>
          <w:sz w:val="32"/>
          <w:u w:val="single"/>
        </w:rPr>
        <w:t>« droit au titre »</w:t>
      </w:r>
      <w:r w:rsidR="00A971BE" w:rsidRPr="003F6186">
        <w:rPr>
          <w:b/>
          <w:sz w:val="32"/>
          <w:u w:val="single"/>
        </w:rPr>
        <w:t>)</w:t>
      </w:r>
      <w:r w:rsidR="00E94CBA" w:rsidRPr="003F6186">
        <w:rPr>
          <w:b/>
          <w:sz w:val="32"/>
          <w:u w:val="single"/>
        </w:rPr>
        <w:t xml:space="preserve"> – Projets de FST</w:t>
      </w:r>
    </w:p>
    <w:p w:rsidR="000A09F1" w:rsidRDefault="00A65C29" w:rsidP="000D31D7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Document provisoire au 3</w:t>
      </w:r>
      <w:r w:rsidR="000D31D7">
        <w:rPr>
          <w:b/>
          <w:i/>
          <w:color w:val="FF0000"/>
          <w:sz w:val="28"/>
        </w:rPr>
        <w:t>/12</w:t>
      </w:r>
      <w:r w:rsidR="00807484" w:rsidRPr="00400594">
        <w:rPr>
          <w:b/>
          <w:i/>
          <w:color w:val="FF0000"/>
          <w:sz w:val="28"/>
        </w:rPr>
        <w:t>/2016</w:t>
      </w:r>
      <w:r w:rsidR="000A09F1">
        <w:rPr>
          <w:b/>
          <w:i/>
          <w:color w:val="FF0000"/>
          <w:sz w:val="28"/>
        </w:rPr>
        <w:t xml:space="preserve"> </w:t>
      </w:r>
    </w:p>
    <w:p w:rsidR="00D17FAD" w:rsidRPr="000A09F1" w:rsidRDefault="00D17FAD" w:rsidP="000D31D7">
      <w:pPr>
        <w:rPr>
          <w:b/>
          <w:i/>
          <w:color w:val="FF0000"/>
          <w:sz w:val="24"/>
        </w:rPr>
      </w:pPr>
      <w:r w:rsidRPr="000A09F1">
        <w:rPr>
          <w:color w:val="FF0000"/>
          <w:sz w:val="20"/>
        </w:rPr>
        <w:t xml:space="preserve">Ce document doit être considéré à ce jour comme un document d’étape. </w:t>
      </w:r>
      <w:r w:rsidR="00715112">
        <w:rPr>
          <w:color w:val="FF0000"/>
          <w:sz w:val="20"/>
        </w:rPr>
        <w:t xml:space="preserve">Il peut comporter des erreurs… </w:t>
      </w:r>
      <w:r w:rsidRPr="000A09F1">
        <w:rPr>
          <w:color w:val="FF0000"/>
          <w:sz w:val="20"/>
        </w:rPr>
        <w:t>Il n’est en rien définitif. Des projets d’options ou de FST non mentionnés n’ont pour le moment pas été retenus par les tutelles ; quelques-uns sont encore en discussion à ce jour.</w:t>
      </w:r>
      <w:r w:rsidR="00715112">
        <w:rPr>
          <w:color w:val="FF0000"/>
          <w:sz w:val="20"/>
        </w:rPr>
        <w:t xml:space="preserve"> </w:t>
      </w:r>
    </w:p>
    <w:p w:rsidR="00B4424A" w:rsidRPr="00AC2284" w:rsidRDefault="00D17FAD" w:rsidP="00B4424A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Options des </w:t>
      </w:r>
      <w:proofErr w:type="spellStart"/>
      <w:r w:rsidR="00B4424A" w:rsidRPr="00AC2284">
        <w:rPr>
          <w:b/>
          <w:u w:val="single"/>
        </w:rPr>
        <w:t>DES</w:t>
      </w:r>
      <w:proofErr w:type="spellEnd"/>
      <w:r w:rsidR="00B4424A" w:rsidRPr="00AC2284">
        <w:rPr>
          <w:b/>
          <w:u w:val="single"/>
        </w:rPr>
        <w:t xml:space="preserve"> </w:t>
      </w:r>
      <w:r>
        <w:rPr>
          <w:b/>
          <w:u w:val="single"/>
        </w:rPr>
        <w:t xml:space="preserve">de </w:t>
      </w:r>
      <w:r w:rsidR="00B4424A" w:rsidRPr="00AC2284">
        <w:rPr>
          <w:b/>
          <w:u w:val="single"/>
        </w:rPr>
        <w:t>spécialités médicales</w:t>
      </w:r>
    </w:p>
    <w:p w:rsidR="00B4424A" w:rsidRDefault="00B4424A" w:rsidP="00B4424A">
      <w:pPr>
        <w:pStyle w:val="Paragraphedeliste"/>
        <w:numPr>
          <w:ilvl w:val="1"/>
          <w:numId w:val="1"/>
        </w:numPr>
      </w:pPr>
      <w:r>
        <w:t>ACP = 0</w:t>
      </w:r>
    </w:p>
    <w:p w:rsidR="00B4424A" w:rsidRDefault="00B4424A" w:rsidP="00B4424A">
      <w:pPr>
        <w:pStyle w:val="Paragraphedeliste"/>
        <w:numPr>
          <w:ilvl w:val="1"/>
          <w:numId w:val="1"/>
        </w:numPr>
      </w:pPr>
      <w:r>
        <w:t>A</w:t>
      </w:r>
      <w:r w:rsidR="00653B6D">
        <w:t>nesthésie-</w:t>
      </w:r>
      <w:r>
        <w:t>R</w:t>
      </w:r>
      <w:r w:rsidR="00653B6D">
        <w:t xml:space="preserve">éanimation / </w:t>
      </w:r>
      <w:r>
        <w:t>M</w:t>
      </w:r>
      <w:r w:rsidR="00653B6D">
        <w:t>édecine intensive-</w:t>
      </w:r>
      <w:r>
        <w:t>R</w:t>
      </w:r>
      <w:r w:rsidR="00653B6D">
        <w:t>éanimation</w:t>
      </w:r>
    </w:p>
    <w:p w:rsidR="00C02897" w:rsidRDefault="00C02897" w:rsidP="00C02897">
      <w:pPr>
        <w:pStyle w:val="Paragraphedeliste"/>
        <w:numPr>
          <w:ilvl w:val="2"/>
          <w:numId w:val="1"/>
        </w:numPr>
      </w:pPr>
      <w:r>
        <w:t>Réanimation pédiatrique (avec pédiatrie)</w:t>
      </w:r>
    </w:p>
    <w:p w:rsidR="00B4424A" w:rsidRDefault="00B4424A" w:rsidP="00B4424A">
      <w:pPr>
        <w:pStyle w:val="Paragraphedeliste"/>
        <w:numPr>
          <w:ilvl w:val="1"/>
          <w:numId w:val="1"/>
        </w:numPr>
      </w:pPr>
      <w:r>
        <w:t>Dermato</w:t>
      </w:r>
      <w:r w:rsidR="00653B6D">
        <w:t>logie = 0</w:t>
      </w:r>
      <w:r>
        <w:t xml:space="preserve"> </w:t>
      </w:r>
    </w:p>
    <w:p w:rsidR="00B4424A" w:rsidRDefault="00B4424A" w:rsidP="00B4424A">
      <w:pPr>
        <w:pStyle w:val="Paragraphedeliste"/>
        <w:numPr>
          <w:ilvl w:val="1"/>
          <w:numId w:val="1"/>
        </w:numPr>
      </w:pPr>
      <w:proofErr w:type="spellStart"/>
      <w:r>
        <w:t>E</w:t>
      </w:r>
      <w:r w:rsidR="00A971BE">
        <w:t>ndocrino</w:t>
      </w:r>
      <w:proofErr w:type="spellEnd"/>
      <w:r w:rsidR="00A971BE">
        <w:t>-</w:t>
      </w:r>
      <w:proofErr w:type="spellStart"/>
      <w:r w:rsidR="00A971BE">
        <w:t>diabéto</w:t>
      </w:r>
      <w:proofErr w:type="spellEnd"/>
      <w:r w:rsidR="00A971BE">
        <w:t>-nutrition</w:t>
      </w:r>
      <w:r w:rsidR="008E769C">
        <w:t xml:space="preserve"> = 0</w:t>
      </w:r>
    </w:p>
    <w:p w:rsidR="008E769C" w:rsidRDefault="008E769C" w:rsidP="00B4424A">
      <w:pPr>
        <w:pStyle w:val="Paragraphedeliste"/>
        <w:numPr>
          <w:ilvl w:val="1"/>
          <w:numId w:val="1"/>
        </w:numPr>
      </w:pPr>
      <w:r>
        <w:t>Génétique médicale = 0</w:t>
      </w:r>
    </w:p>
    <w:p w:rsidR="008E769C" w:rsidRDefault="008E769C" w:rsidP="00B4424A">
      <w:pPr>
        <w:pStyle w:val="Paragraphedeliste"/>
        <w:numPr>
          <w:ilvl w:val="1"/>
          <w:numId w:val="1"/>
        </w:numPr>
      </w:pPr>
      <w:r>
        <w:t>Gériatrie  = 0</w:t>
      </w:r>
    </w:p>
    <w:p w:rsidR="008E769C" w:rsidRDefault="008E769C" w:rsidP="00B4424A">
      <w:pPr>
        <w:pStyle w:val="Paragraphedeliste"/>
        <w:numPr>
          <w:ilvl w:val="1"/>
          <w:numId w:val="1"/>
        </w:numPr>
      </w:pPr>
      <w:r>
        <w:t>Gynéco</w:t>
      </w:r>
      <w:r w:rsidR="00653B6D">
        <w:t>logie mé</w:t>
      </w:r>
      <w:r>
        <w:t>d</w:t>
      </w:r>
      <w:r w:rsidR="00653B6D">
        <w:t>icale</w:t>
      </w:r>
      <w:r>
        <w:t xml:space="preserve"> = 0</w:t>
      </w:r>
    </w:p>
    <w:p w:rsidR="007C644B" w:rsidRDefault="008E769C" w:rsidP="00A971BE">
      <w:pPr>
        <w:pStyle w:val="Paragraphedeliste"/>
        <w:numPr>
          <w:ilvl w:val="1"/>
          <w:numId w:val="1"/>
        </w:numPr>
      </w:pPr>
      <w:r>
        <w:t xml:space="preserve">Hématologie </w:t>
      </w:r>
      <w:r w:rsidR="00A971BE">
        <w:t>= 0</w:t>
      </w:r>
    </w:p>
    <w:p w:rsidR="007C644B" w:rsidRDefault="007C644B" w:rsidP="007C644B">
      <w:pPr>
        <w:pStyle w:val="Paragraphedeliste"/>
        <w:numPr>
          <w:ilvl w:val="1"/>
          <w:numId w:val="1"/>
        </w:numPr>
      </w:pPr>
      <w:r>
        <w:t>H</w:t>
      </w:r>
      <w:r w:rsidR="00653B6D">
        <w:t>épato-gastro-entérologie</w:t>
      </w:r>
    </w:p>
    <w:p w:rsidR="007C644B" w:rsidRDefault="007C644B" w:rsidP="007C644B">
      <w:pPr>
        <w:pStyle w:val="Paragraphedeliste"/>
        <w:numPr>
          <w:ilvl w:val="2"/>
          <w:numId w:val="1"/>
        </w:numPr>
      </w:pPr>
      <w:r>
        <w:t>Endoscopie de niveau 2</w:t>
      </w:r>
    </w:p>
    <w:p w:rsidR="0064203D" w:rsidRDefault="0064203D" w:rsidP="007C644B">
      <w:pPr>
        <w:pStyle w:val="Paragraphedeliste"/>
        <w:numPr>
          <w:ilvl w:val="2"/>
          <w:numId w:val="1"/>
        </w:numPr>
      </w:pPr>
      <w:r>
        <w:t>Proctologie</w:t>
      </w:r>
    </w:p>
    <w:p w:rsidR="007C644B" w:rsidRDefault="007C644B" w:rsidP="007C644B">
      <w:pPr>
        <w:pStyle w:val="Paragraphedeliste"/>
        <w:numPr>
          <w:ilvl w:val="1"/>
          <w:numId w:val="1"/>
        </w:numPr>
      </w:pPr>
      <w:r>
        <w:t>Cardio  (médecine vasculaire = 0)</w:t>
      </w:r>
    </w:p>
    <w:p w:rsidR="007C644B" w:rsidRDefault="007C644B" w:rsidP="007C644B">
      <w:pPr>
        <w:pStyle w:val="Paragraphedeliste"/>
        <w:numPr>
          <w:ilvl w:val="2"/>
          <w:numId w:val="1"/>
        </w:numPr>
      </w:pPr>
      <w:r>
        <w:t>cardiologie interventionnelle de l’adulte</w:t>
      </w:r>
    </w:p>
    <w:p w:rsidR="007C644B" w:rsidRDefault="007C644B" w:rsidP="007C644B">
      <w:pPr>
        <w:pStyle w:val="Paragraphedeliste"/>
        <w:numPr>
          <w:ilvl w:val="2"/>
          <w:numId w:val="1"/>
        </w:numPr>
      </w:pPr>
      <w:proofErr w:type="spellStart"/>
      <w:r>
        <w:t>rythmologie</w:t>
      </w:r>
      <w:proofErr w:type="spellEnd"/>
      <w:r>
        <w:t xml:space="preserve"> interventionnelle et stimulation cardiaque</w:t>
      </w:r>
    </w:p>
    <w:p w:rsidR="007C644B" w:rsidRDefault="007C644B" w:rsidP="007C644B">
      <w:pPr>
        <w:pStyle w:val="Paragraphedeliste"/>
        <w:numPr>
          <w:ilvl w:val="2"/>
          <w:numId w:val="1"/>
        </w:numPr>
      </w:pPr>
      <w:r>
        <w:t>imagerie cardiovasculaire d’expertise</w:t>
      </w:r>
    </w:p>
    <w:p w:rsidR="007C644B" w:rsidRDefault="007C644B" w:rsidP="007C644B">
      <w:pPr>
        <w:pStyle w:val="Paragraphedeliste"/>
        <w:numPr>
          <w:ilvl w:val="1"/>
          <w:numId w:val="1"/>
        </w:numPr>
      </w:pPr>
      <w:r>
        <w:t>M</w:t>
      </w:r>
      <w:r w:rsidR="00653B6D">
        <w:t xml:space="preserve">édecine </w:t>
      </w:r>
      <w:r>
        <w:t>G</w:t>
      </w:r>
      <w:r w:rsidR="00653B6D">
        <w:t>énérale</w:t>
      </w:r>
      <w:r>
        <w:t xml:space="preserve"> = 0</w:t>
      </w:r>
    </w:p>
    <w:p w:rsidR="007C644B" w:rsidRDefault="007C644B" w:rsidP="00653B6D">
      <w:pPr>
        <w:pStyle w:val="Paragraphedeliste"/>
        <w:numPr>
          <w:ilvl w:val="1"/>
          <w:numId w:val="1"/>
        </w:numPr>
      </w:pPr>
      <w:r>
        <w:t>Méd. Int.-</w:t>
      </w:r>
      <w:proofErr w:type="spellStart"/>
      <w:r>
        <w:t>immuno</w:t>
      </w:r>
      <w:proofErr w:type="spellEnd"/>
      <w:r>
        <w:t xml:space="preserve"> clinique</w:t>
      </w:r>
      <w:r w:rsidR="00653B6D">
        <w:t>/Maladies inf</w:t>
      </w:r>
      <w:proofErr w:type="gramStart"/>
      <w:r w:rsidR="00653B6D">
        <w:t>./</w:t>
      </w:r>
      <w:proofErr w:type="gramEnd"/>
      <w:r w:rsidR="00653B6D">
        <w:t>allergologie</w:t>
      </w:r>
      <w:r>
        <w:t xml:space="preserve"> = 0</w:t>
      </w:r>
    </w:p>
    <w:p w:rsidR="007C644B" w:rsidRDefault="007C644B" w:rsidP="007C644B">
      <w:pPr>
        <w:pStyle w:val="Paragraphedeliste"/>
        <w:numPr>
          <w:ilvl w:val="1"/>
          <w:numId w:val="1"/>
        </w:numPr>
      </w:pPr>
      <w:r>
        <w:t>Médecine légale et expertise ML</w:t>
      </w:r>
      <w:r w:rsidR="008647F4">
        <w:t xml:space="preserve">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Médecine nucléaire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MPR = 0</w:t>
      </w:r>
    </w:p>
    <w:p w:rsidR="006E5BF2" w:rsidRDefault="006E5BF2" w:rsidP="006E5BF2">
      <w:pPr>
        <w:pStyle w:val="Paragraphedeliste"/>
        <w:numPr>
          <w:ilvl w:val="2"/>
          <w:numId w:val="1"/>
        </w:numPr>
      </w:pPr>
      <w:r>
        <w:t xml:space="preserve">urologie fonctionnelle </w:t>
      </w:r>
      <w:r w:rsidR="00A971BE">
        <w:t>(</w:t>
      </w:r>
      <w:r>
        <w:t>avec urologie</w:t>
      </w:r>
      <w:r w:rsidR="00A971BE">
        <w:t>)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Médecine du travail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Médecine d’urgence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Néphrologie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>Neurologie = 0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 xml:space="preserve">Oncologie : 2 </w:t>
      </w:r>
      <w:r w:rsidRPr="00653B6D">
        <w:rPr>
          <w:i/>
        </w:rPr>
        <w:t>parcours</w:t>
      </w:r>
      <w:r>
        <w:t xml:space="preserve"> (</w:t>
      </w:r>
      <w:proofErr w:type="spellStart"/>
      <w:r>
        <w:t>onco</w:t>
      </w:r>
      <w:proofErr w:type="spellEnd"/>
      <w:r>
        <w:t xml:space="preserve"> med</w:t>
      </w:r>
      <w:r w:rsidR="00653B6D">
        <w:t xml:space="preserve"> / radiothérapie)</w:t>
      </w:r>
    </w:p>
    <w:p w:rsidR="008647F4" w:rsidRDefault="008647F4" w:rsidP="007C644B">
      <w:pPr>
        <w:pStyle w:val="Paragraphedeliste"/>
        <w:numPr>
          <w:ilvl w:val="1"/>
          <w:numId w:val="1"/>
        </w:numPr>
      </w:pPr>
      <w:r>
        <w:t xml:space="preserve">Pédiatrie </w:t>
      </w:r>
    </w:p>
    <w:p w:rsidR="008647F4" w:rsidRDefault="008647F4" w:rsidP="008647F4">
      <w:pPr>
        <w:pStyle w:val="Paragraphedeliste"/>
        <w:numPr>
          <w:ilvl w:val="2"/>
          <w:numId w:val="1"/>
        </w:numPr>
      </w:pPr>
      <w:r>
        <w:t>Néonatologie</w:t>
      </w:r>
    </w:p>
    <w:p w:rsidR="006E5BF2" w:rsidRDefault="006E5BF2" w:rsidP="008647F4">
      <w:pPr>
        <w:pStyle w:val="Paragraphedeliste"/>
        <w:numPr>
          <w:ilvl w:val="2"/>
          <w:numId w:val="1"/>
        </w:numPr>
      </w:pPr>
      <w:r>
        <w:t>Cardio-pédiatrie</w:t>
      </w:r>
      <w:r w:rsidR="00A65C29">
        <w:t xml:space="preserve"> (partagée avec cardio, ou FST)</w:t>
      </w:r>
    </w:p>
    <w:p w:rsidR="006E5BF2" w:rsidRDefault="006E5BF2" w:rsidP="008647F4">
      <w:pPr>
        <w:pStyle w:val="Paragraphedeliste"/>
        <w:numPr>
          <w:ilvl w:val="2"/>
          <w:numId w:val="1"/>
        </w:numPr>
      </w:pPr>
      <w:r>
        <w:t>Urgences pédiatriques</w:t>
      </w:r>
      <w:r w:rsidR="00A65C29">
        <w:t xml:space="preserve"> (</w:t>
      </w:r>
      <w:r w:rsidR="00DE5EE0">
        <w:t>partagée</w:t>
      </w:r>
      <w:r w:rsidR="00A65C29">
        <w:t xml:space="preserve"> avec médecine d’urgences ou FST)</w:t>
      </w:r>
    </w:p>
    <w:p w:rsidR="006E5BF2" w:rsidRDefault="006E5BF2" w:rsidP="008647F4">
      <w:pPr>
        <w:pStyle w:val="Paragraphedeliste"/>
        <w:numPr>
          <w:ilvl w:val="2"/>
          <w:numId w:val="1"/>
        </w:numPr>
      </w:pPr>
      <w:r>
        <w:t>Réanimation pédiatrique</w:t>
      </w:r>
      <w:r w:rsidR="00A971BE">
        <w:t xml:space="preserve"> (6 ans)</w:t>
      </w:r>
      <w:r w:rsidR="00A65C29">
        <w:t xml:space="preserve"> (partagée avec DESARMIR ou FST)</w:t>
      </w:r>
    </w:p>
    <w:p w:rsidR="008647F4" w:rsidRDefault="00A971BE" w:rsidP="008647F4">
      <w:pPr>
        <w:pStyle w:val="Paragraphedeliste"/>
        <w:numPr>
          <w:ilvl w:val="1"/>
          <w:numId w:val="1"/>
        </w:numPr>
      </w:pPr>
      <w:r>
        <w:t>P</w:t>
      </w:r>
      <w:r w:rsidR="008647F4">
        <w:t>neumologie</w:t>
      </w:r>
      <w:r>
        <w:t xml:space="preserve"> = 0</w:t>
      </w:r>
    </w:p>
    <w:p w:rsidR="00FB0448" w:rsidRPr="00FB0448" w:rsidRDefault="008647F4" w:rsidP="008647F4">
      <w:pPr>
        <w:pStyle w:val="Paragraphedeliste"/>
        <w:numPr>
          <w:ilvl w:val="1"/>
          <w:numId w:val="1"/>
        </w:numPr>
      </w:pPr>
      <w:r>
        <w:t>psychiatrie</w:t>
      </w:r>
      <w:r w:rsidR="00FB0448">
        <w:t xml:space="preserve"> </w:t>
      </w:r>
      <w:r w:rsidR="00FB0448">
        <w:rPr>
          <w:b/>
          <w:bCs/>
        </w:rPr>
        <w:t xml:space="preserve">: </w:t>
      </w:r>
    </w:p>
    <w:p w:rsidR="00FB0448" w:rsidRPr="00FB0448" w:rsidRDefault="00FB0448" w:rsidP="00FB0448">
      <w:pPr>
        <w:pStyle w:val="Paragraphedeliste"/>
        <w:numPr>
          <w:ilvl w:val="2"/>
          <w:numId w:val="1"/>
        </w:numPr>
      </w:pPr>
      <w:r>
        <w:rPr>
          <w:bCs/>
        </w:rPr>
        <w:t>p</w:t>
      </w:r>
      <w:r w:rsidRPr="00EF5DE0">
        <w:rPr>
          <w:bCs/>
        </w:rPr>
        <w:t>sychiatrie de l’</w:t>
      </w:r>
      <w:r>
        <w:rPr>
          <w:bCs/>
        </w:rPr>
        <w:t>e</w:t>
      </w:r>
      <w:r w:rsidRPr="00EF5DE0">
        <w:rPr>
          <w:bCs/>
        </w:rPr>
        <w:t>nfant et de l’</w:t>
      </w:r>
      <w:r>
        <w:rPr>
          <w:bCs/>
        </w:rPr>
        <w:t>a</w:t>
      </w:r>
      <w:r w:rsidRPr="00EF5DE0">
        <w:rPr>
          <w:bCs/>
        </w:rPr>
        <w:t xml:space="preserve">dolescent </w:t>
      </w:r>
    </w:p>
    <w:p w:rsidR="00FB0448" w:rsidRPr="006E5BF2" w:rsidRDefault="00FB0448" w:rsidP="006E5BF2">
      <w:pPr>
        <w:pStyle w:val="Paragraphedeliste"/>
        <w:numPr>
          <w:ilvl w:val="1"/>
          <w:numId w:val="1"/>
        </w:numPr>
        <w:rPr>
          <w:i/>
        </w:rPr>
      </w:pPr>
      <w:r w:rsidRPr="006E5BF2">
        <w:rPr>
          <w:bCs/>
        </w:rPr>
        <w:t>radiologie</w:t>
      </w:r>
    </w:p>
    <w:p w:rsidR="00FB0448" w:rsidRPr="006E5BF2" w:rsidRDefault="00FB0448" w:rsidP="00FB0448">
      <w:pPr>
        <w:pStyle w:val="Paragraphedeliste"/>
        <w:numPr>
          <w:ilvl w:val="2"/>
          <w:numId w:val="1"/>
        </w:numPr>
      </w:pPr>
      <w:r>
        <w:rPr>
          <w:bCs/>
        </w:rPr>
        <w:t>radio interventionnelle</w:t>
      </w:r>
      <w:r w:rsidR="006E5BF2">
        <w:rPr>
          <w:bCs/>
        </w:rPr>
        <w:t xml:space="preserve"> avancée (6 ans)</w:t>
      </w:r>
    </w:p>
    <w:p w:rsidR="00FB0448" w:rsidRPr="00FB0448" w:rsidRDefault="00A971BE" w:rsidP="00FB0448">
      <w:pPr>
        <w:pStyle w:val="Paragraphedeliste"/>
        <w:numPr>
          <w:ilvl w:val="1"/>
          <w:numId w:val="1"/>
        </w:numPr>
      </w:pPr>
      <w:r>
        <w:rPr>
          <w:bCs/>
        </w:rPr>
        <w:t>R</w:t>
      </w:r>
      <w:r w:rsidR="00FB0448">
        <w:rPr>
          <w:bCs/>
        </w:rPr>
        <w:t>humatologie</w:t>
      </w:r>
      <w:r>
        <w:rPr>
          <w:bCs/>
        </w:rPr>
        <w:t xml:space="preserve"> = 0</w:t>
      </w:r>
    </w:p>
    <w:p w:rsidR="00FB0448" w:rsidRPr="00FB0448" w:rsidRDefault="00FB0448" w:rsidP="00FB0448">
      <w:pPr>
        <w:pStyle w:val="Paragraphedeliste"/>
        <w:numPr>
          <w:ilvl w:val="1"/>
          <w:numId w:val="1"/>
        </w:numPr>
      </w:pPr>
      <w:r>
        <w:rPr>
          <w:bCs/>
        </w:rPr>
        <w:t>Santé publique</w:t>
      </w:r>
    </w:p>
    <w:p w:rsidR="00FB0448" w:rsidRPr="002535F6" w:rsidRDefault="00FB0448" w:rsidP="00FB0448">
      <w:pPr>
        <w:pStyle w:val="Paragraphedeliste"/>
        <w:numPr>
          <w:ilvl w:val="2"/>
          <w:numId w:val="1"/>
        </w:numPr>
      </w:pPr>
      <w:r>
        <w:rPr>
          <w:bCs/>
        </w:rPr>
        <w:lastRenderedPageBreak/>
        <w:t>Administration de la Santé</w:t>
      </w:r>
    </w:p>
    <w:p w:rsidR="000D31D7" w:rsidRDefault="000D31D7" w:rsidP="000D31D7">
      <w:pPr>
        <w:pStyle w:val="Paragraphedeliste"/>
        <w:rPr>
          <w:b/>
          <w:u w:val="single"/>
        </w:rPr>
      </w:pPr>
    </w:p>
    <w:p w:rsidR="000D31D7" w:rsidRPr="00AC2284" w:rsidRDefault="00D17FAD" w:rsidP="000D31D7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Options des </w:t>
      </w:r>
      <w:proofErr w:type="spellStart"/>
      <w:r w:rsidR="000D31D7" w:rsidRPr="00AC2284">
        <w:rPr>
          <w:b/>
          <w:u w:val="single"/>
        </w:rPr>
        <w:t>DES</w:t>
      </w:r>
      <w:proofErr w:type="spellEnd"/>
      <w:r w:rsidR="000D31D7" w:rsidRPr="00AC2284">
        <w:rPr>
          <w:b/>
          <w:u w:val="single"/>
        </w:rPr>
        <w:t xml:space="preserve"> </w:t>
      </w:r>
      <w:r>
        <w:rPr>
          <w:b/>
          <w:u w:val="single"/>
        </w:rPr>
        <w:t xml:space="preserve">de </w:t>
      </w:r>
      <w:r w:rsidR="000D31D7">
        <w:rPr>
          <w:b/>
          <w:u w:val="single"/>
        </w:rPr>
        <w:t xml:space="preserve">spécialités </w:t>
      </w:r>
      <w:r w:rsidR="000D31D7" w:rsidRPr="00AC2284">
        <w:rPr>
          <w:b/>
          <w:u w:val="single"/>
        </w:rPr>
        <w:t>chirurgi</w:t>
      </w:r>
      <w:r w:rsidR="000D31D7">
        <w:rPr>
          <w:b/>
          <w:u w:val="single"/>
        </w:rPr>
        <w:t>cales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orale = 0 (NB problème option ODMF ( ?), à discuter entre CMF et </w:t>
      </w:r>
      <w:proofErr w:type="spellStart"/>
      <w:r>
        <w:t>odonto</w:t>
      </w:r>
      <w:proofErr w:type="spellEnd"/>
      <w:r>
        <w:t>)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Max Faciale = 0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ortho et traumato</w:t>
      </w:r>
    </w:p>
    <w:p w:rsidR="000D31D7" w:rsidRDefault="000D31D7" w:rsidP="000D31D7">
      <w:pPr>
        <w:pStyle w:val="Paragraphedeliste"/>
        <w:numPr>
          <w:ilvl w:val="2"/>
          <w:numId w:val="1"/>
        </w:numPr>
      </w:pPr>
      <w:r>
        <w:t>Chirurgie de la main</w:t>
      </w:r>
      <w:r w:rsidR="00CC5BF8">
        <w:t xml:space="preserve"> (avec </w:t>
      </w:r>
      <w:proofErr w:type="spellStart"/>
      <w:r w:rsidR="00CC5BF8">
        <w:t>chir</w:t>
      </w:r>
      <w:proofErr w:type="spellEnd"/>
      <w:r w:rsidR="00CC5BF8">
        <w:t xml:space="preserve"> </w:t>
      </w:r>
      <w:proofErr w:type="spellStart"/>
      <w:proofErr w:type="gramStart"/>
      <w:r w:rsidR="00CC5BF8">
        <w:t>plast</w:t>
      </w:r>
      <w:proofErr w:type="spellEnd"/>
      <w:r w:rsidR="00CC5BF8">
        <w:t>. ?</w:t>
      </w:r>
      <w:proofErr w:type="gramEnd"/>
      <w:r w:rsidR="00CC5BF8">
        <w:t>)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pédiatrique = 2 parcours (</w:t>
      </w:r>
      <w:proofErr w:type="spellStart"/>
      <w:r>
        <w:t>visc</w:t>
      </w:r>
      <w:proofErr w:type="spellEnd"/>
      <w:r>
        <w:t>. / ortho),  et non options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plastique = 0</w:t>
      </w:r>
    </w:p>
    <w:p w:rsidR="000D31D7" w:rsidRDefault="000D31D7" w:rsidP="000D31D7">
      <w:pPr>
        <w:pStyle w:val="Paragraphedeliste"/>
        <w:numPr>
          <w:ilvl w:val="2"/>
          <w:numId w:val="1"/>
        </w:numPr>
      </w:pPr>
      <w:r>
        <w:t>Chirurgie de la main ?</w:t>
      </w:r>
      <w:r w:rsidR="00CC5BF8">
        <w:t xml:space="preserve"> (avec ortho)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thoracique et CV = 0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vasculaire = 0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Chir</w:t>
      </w:r>
      <w:proofErr w:type="spellEnd"/>
      <w:r>
        <w:t xml:space="preserve"> viscérale et digestive </w:t>
      </w:r>
    </w:p>
    <w:p w:rsidR="000D31D7" w:rsidRDefault="0064203D" w:rsidP="000D31D7">
      <w:pPr>
        <w:pStyle w:val="Paragraphedeliste"/>
        <w:numPr>
          <w:ilvl w:val="2"/>
          <w:numId w:val="1"/>
        </w:numPr>
      </w:pPr>
      <w:r>
        <w:t>Endoscopie chirurgicale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Gyn-Obs</w:t>
      </w:r>
      <w:proofErr w:type="spellEnd"/>
      <w:r>
        <w:t xml:space="preserve"> = 0</w:t>
      </w:r>
    </w:p>
    <w:p w:rsidR="000D31D7" w:rsidRDefault="000D31D7" w:rsidP="000D31D7">
      <w:pPr>
        <w:pStyle w:val="Paragraphedeliste"/>
        <w:numPr>
          <w:ilvl w:val="1"/>
          <w:numId w:val="1"/>
        </w:numPr>
      </w:pPr>
      <w:proofErr w:type="spellStart"/>
      <w:r>
        <w:t>Neurochir</w:t>
      </w:r>
      <w:proofErr w:type="spellEnd"/>
      <w:r>
        <w:t xml:space="preserve"> </w:t>
      </w:r>
    </w:p>
    <w:p w:rsidR="000D31D7" w:rsidRDefault="000D31D7" w:rsidP="000D31D7">
      <w:pPr>
        <w:pStyle w:val="Paragraphedeliste"/>
        <w:numPr>
          <w:ilvl w:val="2"/>
          <w:numId w:val="1"/>
        </w:numPr>
      </w:pPr>
      <w:proofErr w:type="spellStart"/>
      <w:r>
        <w:t>Neurochir</w:t>
      </w:r>
      <w:proofErr w:type="spellEnd"/>
      <w:r>
        <w:t xml:space="preserve"> pédiatrique</w:t>
      </w:r>
    </w:p>
    <w:p w:rsidR="000D31D7" w:rsidRDefault="000D31D7" w:rsidP="000D31D7">
      <w:pPr>
        <w:pStyle w:val="Paragraphedeliste"/>
        <w:numPr>
          <w:ilvl w:val="2"/>
          <w:numId w:val="1"/>
        </w:numPr>
      </w:pPr>
      <w:proofErr w:type="spellStart"/>
      <w:r>
        <w:t>Radiochirurgie</w:t>
      </w:r>
      <w:proofErr w:type="spellEnd"/>
    </w:p>
    <w:p w:rsidR="000D31D7" w:rsidRDefault="000D31D7" w:rsidP="000D31D7">
      <w:pPr>
        <w:pStyle w:val="Paragraphedeliste"/>
        <w:numPr>
          <w:ilvl w:val="1"/>
          <w:numId w:val="1"/>
        </w:numPr>
      </w:pPr>
      <w:r>
        <w:t>Ophtalmo </w:t>
      </w:r>
    </w:p>
    <w:p w:rsidR="000D31D7" w:rsidRDefault="000D31D7" w:rsidP="000D31D7">
      <w:pPr>
        <w:pStyle w:val="Paragraphedeliste"/>
        <w:numPr>
          <w:ilvl w:val="2"/>
          <w:numId w:val="1"/>
        </w:numPr>
      </w:pPr>
      <w:r w:rsidRPr="00012964">
        <w:t>Chirurgie</w:t>
      </w:r>
      <w:r>
        <w:t xml:space="preserve"> </w:t>
      </w:r>
      <w:proofErr w:type="spellStart"/>
      <w:r w:rsidRPr="00012964">
        <w:t>ophtalmopédiatrique</w:t>
      </w:r>
      <w:proofErr w:type="spellEnd"/>
      <w:r>
        <w:t xml:space="preserve"> </w:t>
      </w:r>
      <w:r w:rsidRPr="00012964">
        <w:t>et</w:t>
      </w:r>
      <w:r>
        <w:t xml:space="preserve"> </w:t>
      </w:r>
      <w:proofErr w:type="spellStart"/>
      <w:r>
        <w:t>strabologique</w:t>
      </w:r>
      <w:proofErr w:type="spellEnd"/>
    </w:p>
    <w:p w:rsidR="000D31D7" w:rsidRDefault="000D31D7" w:rsidP="000D31D7">
      <w:pPr>
        <w:pStyle w:val="Paragraphedeliste"/>
        <w:numPr>
          <w:ilvl w:val="1"/>
          <w:numId w:val="1"/>
        </w:numPr>
      </w:pPr>
      <w:r>
        <w:t xml:space="preserve">ORL et </w:t>
      </w:r>
      <w:proofErr w:type="spellStart"/>
      <w:r>
        <w:t>Chir</w:t>
      </w:r>
      <w:proofErr w:type="spellEnd"/>
      <w:r>
        <w:t xml:space="preserve"> C-F</w:t>
      </w:r>
    </w:p>
    <w:p w:rsidR="000D31D7" w:rsidRPr="000D31D7" w:rsidRDefault="000D31D7" w:rsidP="000D31D7">
      <w:pPr>
        <w:pStyle w:val="Paragraphedeliste"/>
        <w:numPr>
          <w:ilvl w:val="2"/>
          <w:numId w:val="1"/>
        </w:numPr>
      </w:pPr>
      <w:r>
        <w:t xml:space="preserve">Chirurgie avancée tête et cou (avec CMF et </w:t>
      </w:r>
      <w:proofErr w:type="spellStart"/>
      <w:r>
        <w:t>Neurochir</w:t>
      </w:r>
      <w:proofErr w:type="spellEnd"/>
      <w:r>
        <w:t> ?)</w:t>
      </w:r>
      <w:r w:rsidRPr="00A971BE">
        <w:rPr>
          <w:bCs/>
        </w:rPr>
        <w:t xml:space="preserve"> </w:t>
      </w:r>
    </w:p>
    <w:p w:rsidR="000D31D7" w:rsidRPr="00012964" w:rsidRDefault="000D31D7" w:rsidP="000D31D7">
      <w:pPr>
        <w:pStyle w:val="Paragraphedeliste"/>
        <w:numPr>
          <w:ilvl w:val="2"/>
          <w:numId w:val="1"/>
        </w:numPr>
      </w:pPr>
      <w:r>
        <w:rPr>
          <w:bCs/>
        </w:rPr>
        <w:t>audiophonologie</w:t>
      </w:r>
    </w:p>
    <w:p w:rsidR="000D31D7" w:rsidRPr="00C02897" w:rsidRDefault="000D31D7" w:rsidP="000D31D7">
      <w:pPr>
        <w:pStyle w:val="Paragraphedeliste"/>
        <w:numPr>
          <w:ilvl w:val="1"/>
          <w:numId w:val="1"/>
        </w:numPr>
      </w:pPr>
      <w:r>
        <w:rPr>
          <w:bCs/>
        </w:rPr>
        <w:t>Urologie</w:t>
      </w:r>
    </w:p>
    <w:p w:rsidR="000D31D7" w:rsidRPr="000A09F1" w:rsidRDefault="000D31D7" w:rsidP="000D31D7">
      <w:pPr>
        <w:pStyle w:val="Paragraphedeliste"/>
        <w:numPr>
          <w:ilvl w:val="2"/>
          <w:numId w:val="1"/>
        </w:numPr>
      </w:pPr>
      <w:r>
        <w:rPr>
          <w:bCs/>
        </w:rPr>
        <w:t>Urologie fonctionnelle (avec MPR)</w:t>
      </w:r>
    </w:p>
    <w:p w:rsidR="000A09F1" w:rsidRPr="000A09F1" w:rsidRDefault="000A09F1" w:rsidP="000A09F1">
      <w:pPr>
        <w:pStyle w:val="Paragraphedeliste"/>
        <w:ind w:left="2160"/>
      </w:pPr>
    </w:p>
    <w:p w:rsidR="000A09F1" w:rsidRPr="00B4424A" w:rsidRDefault="000A09F1" w:rsidP="000A09F1">
      <w:pPr>
        <w:pStyle w:val="Paragraphedeliste"/>
        <w:numPr>
          <w:ilvl w:val="0"/>
          <w:numId w:val="1"/>
        </w:numPr>
      </w:pPr>
      <w:r w:rsidRPr="000A09F1">
        <w:rPr>
          <w:b/>
          <w:bCs/>
          <w:u w:val="single"/>
        </w:rPr>
        <w:t>Options du DES de biologie médicale</w:t>
      </w:r>
      <w:r>
        <w:rPr>
          <w:bCs/>
        </w:rPr>
        <w:t> : il ne s’agit pas à proprement parler d’options mais de parcours (ou « spécialité ») de ce DES : biologie générale – médecine moléculaire, génétique et pharmacologie – hématologie et immunologie – agents infectieux -  biologie de la reproduction</w:t>
      </w:r>
    </w:p>
    <w:p w:rsidR="00807484" w:rsidRDefault="00807484" w:rsidP="002535F6">
      <w:pPr>
        <w:rPr>
          <w:b/>
          <w:u w:val="single"/>
        </w:rPr>
      </w:pPr>
    </w:p>
    <w:p w:rsidR="002535F6" w:rsidRDefault="002535F6" w:rsidP="002535F6">
      <w:pPr>
        <w:rPr>
          <w:b/>
          <w:u w:val="single"/>
        </w:rPr>
      </w:pPr>
      <w:r w:rsidRPr="002535F6">
        <w:rPr>
          <w:b/>
          <w:u w:val="single"/>
        </w:rPr>
        <w:t>ALTERNATIVE / DROIT AU TITRE</w:t>
      </w:r>
    </w:p>
    <w:p w:rsidR="002535F6" w:rsidRDefault="002535F6" w:rsidP="002535F6">
      <w:r>
        <w:t xml:space="preserve">Dans certains DES, le souhait est exprimé de pouvoir faire état d’une compétence additionnelle à la spécialité, témoignant d’une « coloration » particulière de la formation et des compétences. La « qualification » n’est pour autant pas réclamée. Seul est exprimé le souhait de la faire reconnaître (en-tête ordonnances, plaque, etc…) dans </w:t>
      </w:r>
      <w:r w:rsidR="00A971BE">
        <w:t>l</w:t>
      </w:r>
      <w:r>
        <w:t>e but d’une meilleure identification par les patients et par les correspondants. Le CNOM appelle cela « droit au titre ». Il est délivré par le CO sur la foi de documents  universitaires.</w:t>
      </w:r>
    </w:p>
    <w:p w:rsidR="002535F6" w:rsidRDefault="002535F6" w:rsidP="002535F6">
      <w:r>
        <w:t xml:space="preserve">En formation initiale, du côté du </w:t>
      </w:r>
      <w:proofErr w:type="spellStart"/>
      <w:r>
        <w:t>MEnSR</w:t>
      </w:r>
      <w:proofErr w:type="spellEnd"/>
      <w:r>
        <w:t xml:space="preserve">, le « supplément au diplôme » est normalement délivré obligatoirement en même temps que le diplôme et fait état du parcours de formation. </w:t>
      </w:r>
      <w:r w:rsidR="00CA6DE8">
        <w:t xml:space="preserve">Ce document pourrait servir de base au « droit au titre », ce d’autant qu’il est signé par le Président de l’Université. Il permet dès lors d’éviter la multiplication d’options au sein de certains DES </w:t>
      </w:r>
      <w:r w:rsidR="00807484">
        <w:t>qui soustrairaient un champ de compétences aux titulaires du DES qui ne seraient pas qualifiés dans l’option.</w:t>
      </w:r>
      <w:r>
        <w:t xml:space="preserve"> </w:t>
      </w:r>
    </w:p>
    <w:p w:rsidR="007A3461" w:rsidRDefault="007A3461" w:rsidP="002535F6"/>
    <w:p w:rsidR="007A3461" w:rsidRDefault="007A3461" w:rsidP="002535F6"/>
    <w:p w:rsidR="007A3461" w:rsidRDefault="007A3461" w:rsidP="002535F6"/>
    <w:p w:rsidR="007A3461" w:rsidRPr="007A3461" w:rsidRDefault="007A3461" w:rsidP="007A3461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7A3461">
        <w:rPr>
          <w:rFonts w:ascii="Times New Roman" w:eastAsia="Times New Roman" w:hAnsi="Times New Roman" w:cs="Times New Roman"/>
          <w:sz w:val="32"/>
          <w:szCs w:val="24"/>
          <w:lang w:eastAsia="fr-FR"/>
        </w:rPr>
        <w:t>PROJETS DE FST</w:t>
      </w:r>
    </w:p>
    <w:p w:rsidR="007A3461" w:rsidRPr="007A3461" w:rsidRDefault="007A3461" w:rsidP="007A34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fr-FR"/>
        </w:rPr>
      </w:pPr>
    </w:p>
    <w:p w:rsidR="007A3461" w:rsidRPr="007A3461" w:rsidRDefault="007A3461" w:rsidP="007A3461">
      <w:pPr>
        <w:pBdr>
          <w:bottom w:val="single" w:sz="12" w:space="1" w:color="auto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fr-FR"/>
        </w:rPr>
      </w:pPr>
      <w:r w:rsidRPr="007A3461">
        <w:rPr>
          <w:rFonts w:ascii="Times New Roman" w:eastAsia="Times New Roman" w:hAnsi="Times New Roman" w:cs="Times New Roman"/>
          <w:szCs w:val="24"/>
          <w:lang w:eastAsia="fr-FR"/>
        </w:rPr>
        <w:t>INTITULES</w:t>
      </w:r>
      <w:r w:rsidRPr="007A346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A346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A346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A3461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7A3461">
        <w:rPr>
          <w:rFonts w:ascii="Times New Roman" w:eastAsia="Times New Roman" w:hAnsi="Times New Roman" w:cs="Times New Roman"/>
          <w:szCs w:val="24"/>
          <w:lang w:eastAsia="fr-FR"/>
        </w:rPr>
        <w:tab/>
        <w:t>DES D’ORIGINE</w:t>
      </w:r>
    </w:p>
    <w:p w:rsidR="007A3461" w:rsidRPr="007A3461" w:rsidRDefault="007A3461" w:rsidP="007A3461">
      <w:pPr>
        <w:pBdr>
          <w:bottom w:val="single" w:sz="12" w:space="1" w:color="auto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Cs w:val="24"/>
          <w:lang w:eastAsia="fr-FR"/>
        </w:rPr>
      </w:pP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Addictologie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HGE-MG-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int-Méd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travail-Pneumo-Psychiatrie-SP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Maladies allergiques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 xml:space="preserve">Dermato-MG ?-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int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-ORL-Pédiatrie-Pneumo-médecine travail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Cancérologie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 xml:space="preserve">en attente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INCa</w:t>
      </w:r>
      <w:proofErr w:type="spellEnd"/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Cardio pédiatrique et congénitale*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CV-Pédiatrie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bookmarkStart w:id="0" w:name="_GoBack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Chirurgie de catastrophe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voir spé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chir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(ortho,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chir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visc.et </w:t>
      </w:r>
      <w:proofErr w:type="spellStart"/>
      <w:proofErr w:type="gram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dig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.,</w:t>
      </w:r>
      <w:proofErr w:type="gram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etc… et </w:t>
      </w:r>
      <w:r w:rsidR="006E15C8">
        <w:rPr>
          <w:rFonts w:eastAsiaTheme="minorEastAsia" w:hAnsi="Calibri"/>
          <w:kern w:val="24"/>
          <w:sz w:val="20"/>
          <w:szCs w:val="20"/>
          <w:lang w:eastAsia="fr-FR"/>
        </w:rPr>
        <w:t>SSA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)</w:t>
      </w:r>
    </w:p>
    <w:bookmarkEnd w:id="0"/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Douleur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Aréa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-MG-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int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Neurochir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-Neuro-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Onco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-Psy-Rhumato-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r>
        <w:rPr>
          <w:rFonts w:eastAsiaTheme="minorEastAsia" w:hAnsi="Calibri"/>
          <w:kern w:val="24"/>
          <w:sz w:val="20"/>
          <w:szCs w:val="20"/>
          <w:lang w:eastAsia="fr-FR"/>
        </w:rPr>
        <w:t>travail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Foetopathologie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ACP?-Génétique-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GynObs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-radiologie</w:t>
      </w:r>
    </w:p>
    <w:p w:rsidR="007A3461" w:rsidRPr="0009494E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Génétique et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moléculaire bioclinique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Génétique-Biologie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-oncologie-néphrologie</w:t>
      </w:r>
    </w:p>
    <w:p w:rsidR="0009494E" w:rsidRPr="007A3461" w:rsidRDefault="0009494E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eastAsiaTheme="minorEastAsia" w:hAnsi="Calibri"/>
          <w:kern w:val="24"/>
          <w:sz w:val="20"/>
          <w:szCs w:val="20"/>
          <w:lang w:eastAsia="fr-FR"/>
        </w:rPr>
        <w:t>Hé</w:t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 xml:space="preserve">matologie </w:t>
      </w:r>
      <w:proofErr w:type="spellStart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bio-clinique</w:t>
      </w:r>
      <w:proofErr w:type="spellEnd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ab/>
        <w:t>H</w:t>
      </w:r>
      <w:r>
        <w:rPr>
          <w:rFonts w:eastAsiaTheme="minorEastAsia" w:hAnsi="Calibri"/>
          <w:kern w:val="24"/>
          <w:sz w:val="20"/>
          <w:szCs w:val="20"/>
          <w:lang w:eastAsia="fr-FR"/>
        </w:rPr>
        <w:t>ématologie-biologie médicale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Hygiène-pré</w:t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 xml:space="preserve">vention inf., 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résistances</w:t>
      </w:r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, vigilances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Malad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inf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-SP-</w:t>
      </w:r>
      <w:r w:rsidR="0009494E">
        <w:rPr>
          <w:rFonts w:eastAsiaTheme="minorEastAsia" w:hAnsi="Calibri"/>
          <w:kern w:val="24"/>
          <w:sz w:val="20"/>
          <w:szCs w:val="20"/>
          <w:lang w:eastAsia="fr-FR"/>
        </w:rPr>
        <w:t xml:space="preserve">Biologie </w:t>
      </w:r>
      <w:proofErr w:type="spellStart"/>
      <w:r w:rsidR="0009494E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="0009494E">
        <w:rPr>
          <w:rFonts w:eastAsiaTheme="minorEastAsia" w:hAnsi="Calibri"/>
          <w:kern w:val="24"/>
          <w:sz w:val="20"/>
          <w:szCs w:val="20"/>
          <w:lang w:eastAsia="fr-FR"/>
        </w:rPr>
        <w:t xml:space="preserve"> (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Bactério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viro</w:t>
      </w:r>
      <w:proofErr w:type="spellEnd"/>
      <w:r w:rsidR="0009494E">
        <w:rPr>
          <w:rFonts w:eastAsiaTheme="minorEastAsia" w:hAnsi="Calibri"/>
          <w:kern w:val="24"/>
          <w:sz w:val="20"/>
          <w:szCs w:val="20"/>
          <w:lang w:eastAsia="fr-FR"/>
        </w:rPr>
        <w:t>-hygiène)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Médecine sexuelle et de la reproduction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Gyn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med-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Gyn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obs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endocrino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-urologie-Biologie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Médecine du sport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CV-MPR-MG-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travail-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rhumato</w:t>
      </w:r>
      <w:proofErr w:type="spellEnd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-</w:t>
      </w:r>
      <w:proofErr w:type="spellStart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chir</w:t>
      </w:r>
      <w:proofErr w:type="spellEnd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 xml:space="preserve">. </w:t>
      </w:r>
      <w:proofErr w:type="spellStart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orthopéd</w:t>
      </w:r>
      <w:proofErr w:type="spellEnd"/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Expertise médicale-préjudice corporel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MG-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du W-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rhumato</w:t>
      </w:r>
      <w:proofErr w:type="spellEnd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 xml:space="preserve">-med </w:t>
      </w:r>
      <w:proofErr w:type="spellStart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int</w:t>
      </w:r>
      <w:proofErr w:type="spellEnd"/>
      <w:r w:rsidR="003F6186">
        <w:rPr>
          <w:rFonts w:eastAsiaTheme="minorEastAsia" w:hAnsi="Calibri"/>
          <w:kern w:val="24"/>
          <w:sz w:val="20"/>
          <w:szCs w:val="20"/>
          <w:lang w:eastAsia="fr-FR"/>
        </w:rPr>
        <w:t>-psy-MPR-neuro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Nutrition (</w:t>
      </w:r>
      <w:r w:rsidR="00DC6A94">
        <w:rPr>
          <w:rFonts w:eastAsiaTheme="minorEastAsia" w:hAnsi="Calibri"/>
          <w:kern w:val="24"/>
          <w:sz w:val="20"/>
          <w:szCs w:val="20"/>
          <w:lang w:eastAsia="fr-FR"/>
        </w:rPr>
        <w:t xml:space="preserve">avec un 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autre intitulé</w:t>
      </w:r>
      <w:r w:rsidR="00DC6A94">
        <w:rPr>
          <w:rFonts w:eastAsiaTheme="minorEastAsia" w:hAnsi="Calibri"/>
          <w:kern w:val="24"/>
          <w:sz w:val="20"/>
          <w:szCs w:val="20"/>
          <w:lang w:eastAsia="fr-FR"/>
        </w:rPr>
        <w:t>… !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)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HGE-DESARMIR-psychiatrie-pédiatrie-gériatrie-Mé</w:t>
      </w:r>
      <w:r w:rsidR="00E94CBA">
        <w:rPr>
          <w:rFonts w:eastAsiaTheme="minorEastAsia" w:hAnsi="Calibri"/>
          <w:kern w:val="24"/>
          <w:sz w:val="20"/>
          <w:szCs w:val="20"/>
          <w:lang w:eastAsia="fr-FR"/>
        </w:rPr>
        <w:t xml:space="preserve">decine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int.IC</w:t>
      </w:r>
      <w:proofErr w:type="spellEnd"/>
    </w:p>
    <w:p w:rsidR="007A3461" w:rsidRPr="007A3461" w:rsidRDefault="007A3461" w:rsidP="007A3461">
      <w:pPr>
        <w:ind w:left="4248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7A3461">
        <w:rPr>
          <w:rFonts w:eastAsiaTheme="minorEastAsia" w:hAnsi="Calibri"/>
          <w:kern w:val="24"/>
          <w:sz w:val="20"/>
          <w:szCs w:val="20"/>
        </w:rPr>
        <w:t>MIT-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</w:rPr>
        <w:t>chir</w:t>
      </w:r>
      <w:proofErr w:type="spellEnd"/>
      <w:r w:rsidRPr="007A3461">
        <w:rPr>
          <w:rFonts w:eastAsiaTheme="minorEastAsia" w:hAnsi="Calibri"/>
          <w:kern w:val="24"/>
          <w:sz w:val="20"/>
          <w:szCs w:val="20"/>
        </w:rPr>
        <w:t xml:space="preserve"> viscérale et digestive-médecine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</w:rPr>
        <w:t>vascul</w:t>
      </w:r>
      <w:proofErr w:type="spellEnd"/>
      <w:r w:rsidRPr="007A3461">
        <w:rPr>
          <w:rFonts w:eastAsiaTheme="minorEastAsia" w:hAnsi="Calibri"/>
          <w:kern w:val="24"/>
          <w:sz w:val="20"/>
          <w:szCs w:val="20"/>
        </w:rPr>
        <w:t>.</w:t>
      </w:r>
      <w:r w:rsidR="0009494E">
        <w:rPr>
          <w:rFonts w:eastAsiaTheme="minorEastAsia" w:hAnsi="Calibri"/>
          <w:kern w:val="24"/>
          <w:sz w:val="20"/>
          <w:szCs w:val="20"/>
        </w:rPr>
        <w:t>- biologie med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cs="Times New Roman"/>
          <w:kern w:val="24"/>
          <w:sz w:val="20"/>
          <w:szCs w:val="20"/>
          <w:lang w:eastAsia="fr-FR"/>
        </w:rPr>
        <w:t xml:space="preserve">Pharmacologie médicale/évaluation </w:t>
      </w:r>
      <w:proofErr w:type="spellStart"/>
      <w:r w:rsidRPr="007A3461">
        <w:rPr>
          <w:rFonts w:eastAsiaTheme="minorEastAsia" w:cs="Times New Roman"/>
          <w:kern w:val="24"/>
          <w:sz w:val="20"/>
          <w:szCs w:val="20"/>
          <w:lang w:eastAsia="fr-FR"/>
        </w:rPr>
        <w:t>PdS</w:t>
      </w:r>
      <w:proofErr w:type="spellEnd"/>
      <w:r w:rsidRPr="007A3461">
        <w:rPr>
          <w:rFonts w:eastAsiaTheme="minorEastAsia" w:cs="Times New Roman"/>
          <w:kern w:val="24"/>
          <w:sz w:val="20"/>
          <w:szCs w:val="20"/>
          <w:lang w:eastAsia="fr-FR"/>
        </w:rPr>
        <w:tab/>
      </w:r>
      <w:r w:rsidR="00E94CBA">
        <w:rPr>
          <w:rFonts w:eastAsiaTheme="minorEastAsia" w:cs="Times New Roman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cs="Times New Roman"/>
          <w:kern w:val="24"/>
          <w:sz w:val="20"/>
          <w:szCs w:val="20"/>
          <w:lang w:eastAsia="fr-FR"/>
        </w:rPr>
        <w:t>Tous DES ?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Réanimation pédiatrique*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Pédiatrie-DESARMIR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Soins palliatifs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Tous DES ?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Sommeil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CV-ORL-neuro-pneumo-pédiatrie-psychiatrie-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travail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Thérapie cellulaire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 xml:space="preserve">Hémato-biologie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Urgences pédiatriques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  <w:t>pédiatrie – médecine d’urgence</w:t>
      </w:r>
    </w:p>
    <w:p w:rsidR="007A3461" w:rsidRPr="007A3461" w:rsidRDefault="007A3461" w:rsidP="007A3461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Bio-informatique médicale</w:t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ab/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Biol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médicale, génétique, hématologie, oncologie,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méd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</w:t>
      </w:r>
      <w:proofErr w:type="spellStart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>int</w:t>
      </w:r>
      <w:proofErr w:type="spellEnd"/>
      <w:r w:rsidRPr="007A3461">
        <w:rPr>
          <w:rFonts w:eastAsiaTheme="minorEastAsia" w:hAnsi="Calibri"/>
          <w:kern w:val="24"/>
          <w:sz w:val="20"/>
          <w:szCs w:val="20"/>
          <w:lang w:eastAsia="fr-FR"/>
        </w:rPr>
        <w:t xml:space="preserve"> IC</w:t>
      </w:r>
    </w:p>
    <w:p w:rsidR="007A3461" w:rsidRPr="007A3461" w:rsidRDefault="007A3461" w:rsidP="007A3461"/>
    <w:p w:rsidR="007A3461" w:rsidRPr="007A3461" w:rsidRDefault="007A3461" w:rsidP="007A3461">
      <w:r w:rsidRPr="007A3461">
        <w:t>NB : * = peut-être plutôt double option avec partie de programme commun</w:t>
      </w:r>
    </w:p>
    <w:p w:rsidR="00654523" w:rsidRPr="002535F6" w:rsidRDefault="00654523" w:rsidP="0009494E">
      <w:pPr>
        <w:pStyle w:val="Paragraphedeliste"/>
      </w:pPr>
    </w:p>
    <w:sectPr w:rsidR="00654523" w:rsidRPr="002535F6" w:rsidSect="006E15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7" w:bottom="7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A2" w:rsidRDefault="00A319A2" w:rsidP="001B01A4">
      <w:pPr>
        <w:spacing w:after="0" w:line="240" w:lineRule="auto"/>
      </w:pPr>
      <w:r>
        <w:separator/>
      </w:r>
    </w:p>
  </w:endnote>
  <w:endnote w:type="continuationSeparator" w:id="0">
    <w:p w:rsidR="00A319A2" w:rsidRDefault="00A319A2" w:rsidP="001B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1B01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1B01A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1B01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A2" w:rsidRDefault="00A319A2" w:rsidP="001B01A4">
      <w:pPr>
        <w:spacing w:after="0" w:line="240" w:lineRule="auto"/>
      </w:pPr>
      <w:r>
        <w:separator/>
      </w:r>
    </w:p>
  </w:footnote>
  <w:footnote w:type="continuationSeparator" w:id="0">
    <w:p w:rsidR="00A319A2" w:rsidRDefault="00A319A2" w:rsidP="001B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A319A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765496" o:spid="_x0000_s2050" type="#_x0000_t136" style="position:absolute;margin-left:0;margin-top:0;width:543.5pt;height:95.9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A319A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765497" o:spid="_x0000_s2051" type="#_x0000_t136" style="position:absolute;margin-left:0;margin-top:0;width:543.5pt;height:95.9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proviso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A4" w:rsidRDefault="00A319A2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62765495" o:spid="_x0000_s2049" type="#_x0000_t136" style="position:absolute;margin-left:0;margin-top:0;width:543.5pt;height:95.9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document 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6F4"/>
    <w:multiLevelType w:val="hybridMultilevel"/>
    <w:tmpl w:val="ED464EDE"/>
    <w:lvl w:ilvl="0" w:tplc="069A8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E6E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E98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8E9C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E45A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8057B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8C9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82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044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622F32"/>
    <w:multiLevelType w:val="hybridMultilevel"/>
    <w:tmpl w:val="6FC4290C"/>
    <w:lvl w:ilvl="0" w:tplc="274C1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65B46"/>
    <w:multiLevelType w:val="hybridMultilevel"/>
    <w:tmpl w:val="ABCA12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D4E3D"/>
    <w:multiLevelType w:val="hybridMultilevel"/>
    <w:tmpl w:val="63204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80"/>
    <w:rsid w:val="00012964"/>
    <w:rsid w:val="0006347A"/>
    <w:rsid w:val="0006663D"/>
    <w:rsid w:val="0009494E"/>
    <w:rsid w:val="000A09F1"/>
    <w:rsid w:val="000D31D7"/>
    <w:rsid w:val="001B01A4"/>
    <w:rsid w:val="002175B1"/>
    <w:rsid w:val="002535F6"/>
    <w:rsid w:val="0029378E"/>
    <w:rsid w:val="003810BD"/>
    <w:rsid w:val="003A4AE2"/>
    <w:rsid w:val="003F6186"/>
    <w:rsid w:val="00400594"/>
    <w:rsid w:val="00486BC2"/>
    <w:rsid w:val="005D1129"/>
    <w:rsid w:val="00604928"/>
    <w:rsid w:val="0064203D"/>
    <w:rsid w:val="00653B6D"/>
    <w:rsid w:val="00654523"/>
    <w:rsid w:val="006A3C29"/>
    <w:rsid w:val="006C3E3B"/>
    <w:rsid w:val="006E15C8"/>
    <w:rsid w:val="006E5BF2"/>
    <w:rsid w:val="00715112"/>
    <w:rsid w:val="007A3461"/>
    <w:rsid w:val="007C644B"/>
    <w:rsid w:val="00807484"/>
    <w:rsid w:val="00814080"/>
    <w:rsid w:val="008647F4"/>
    <w:rsid w:val="00884668"/>
    <w:rsid w:val="008E769C"/>
    <w:rsid w:val="00A319A2"/>
    <w:rsid w:val="00A65C29"/>
    <w:rsid w:val="00A971BE"/>
    <w:rsid w:val="00AC2284"/>
    <w:rsid w:val="00B4424A"/>
    <w:rsid w:val="00C02897"/>
    <w:rsid w:val="00CA6DE8"/>
    <w:rsid w:val="00CC5BF8"/>
    <w:rsid w:val="00D17FAD"/>
    <w:rsid w:val="00DC6A94"/>
    <w:rsid w:val="00DE5EE0"/>
    <w:rsid w:val="00E83B90"/>
    <w:rsid w:val="00E94CBA"/>
    <w:rsid w:val="00EA43DB"/>
    <w:rsid w:val="00EA5112"/>
    <w:rsid w:val="00EF6ADD"/>
    <w:rsid w:val="00FB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0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1A4"/>
  </w:style>
  <w:style w:type="paragraph" w:styleId="Pieddepage">
    <w:name w:val="footer"/>
    <w:basedOn w:val="Normal"/>
    <w:link w:val="PieddepageCar"/>
    <w:uiPriority w:val="99"/>
    <w:unhideWhenUsed/>
    <w:rsid w:val="001B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0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B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01A4"/>
  </w:style>
  <w:style w:type="paragraph" w:styleId="Pieddepage">
    <w:name w:val="footer"/>
    <w:basedOn w:val="Normal"/>
    <w:link w:val="PieddepageCar"/>
    <w:uiPriority w:val="99"/>
    <w:unhideWhenUsed/>
    <w:rsid w:val="001B0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0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AP-HP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SCHLEMMER Benoit</dc:creator>
  <cp:lastModifiedBy>MOUTHON Luc</cp:lastModifiedBy>
  <cp:revision>2</cp:revision>
  <dcterms:created xsi:type="dcterms:W3CDTF">2016-12-04T04:29:00Z</dcterms:created>
  <dcterms:modified xsi:type="dcterms:W3CDTF">2016-12-04T04:29:00Z</dcterms:modified>
</cp:coreProperties>
</file>