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F7F7" w14:textId="77777777" w:rsidR="00255C5F" w:rsidRDefault="00255C5F" w:rsidP="008F0D42">
      <w:pPr>
        <w:ind w:left="4320" w:firstLine="720"/>
      </w:pPr>
    </w:p>
    <w:p w14:paraId="25A1ECA5" w14:textId="77777777" w:rsidR="0094397E" w:rsidRPr="00AA0E42" w:rsidRDefault="008F0D42" w:rsidP="008F0D42">
      <w:pPr>
        <w:ind w:left="4320" w:firstLine="720"/>
      </w:pPr>
      <w:r>
        <w:rPr>
          <w:b/>
          <w:noProof/>
          <w:sz w:val="20"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620939E5" wp14:editId="5206FB21">
            <wp:simplePos x="0" y="0"/>
            <wp:positionH relativeFrom="margin">
              <wp:align>left</wp:align>
            </wp:positionH>
            <wp:positionV relativeFrom="paragraph">
              <wp:posOffset>-289560</wp:posOffset>
            </wp:positionV>
            <wp:extent cx="1957702" cy="45720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2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8B8EF" w14:textId="77777777" w:rsidR="00255C5F" w:rsidRDefault="00255C5F" w:rsidP="008F0D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14:paraId="50004E35" w14:textId="77777777" w:rsidR="008F0D42" w:rsidRPr="00AA0E42" w:rsidRDefault="008F0D42" w:rsidP="008F0D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</w:rPr>
        <w:t>FACULTÉ DE MÉDECINE</w:t>
      </w:r>
    </w:p>
    <w:p w14:paraId="36C5200B" w14:textId="77777777" w:rsidR="008F0D42" w:rsidRDefault="008F0D42" w:rsidP="008F0D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>
        <w:rPr>
          <w:sz w:val="32"/>
        </w:rPr>
        <w:t>Département de génétique humaine</w:t>
      </w:r>
    </w:p>
    <w:p w14:paraId="64CFECEE" w14:textId="77777777" w:rsidR="00255C5F" w:rsidRPr="00AA0E42" w:rsidRDefault="00255C5F" w:rsidP="008F0D42">
      <w:pPr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</w:p>
    <w:p w14:paraId="01187641" w14:textId="77777777" w:rsidR="008F0D42" w:rsidRPr="00AA0E42" w:rsidRDefault="008F0D42" w:rsidP="008F0D4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27D3E3B" w14:textId="0218F924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 département de génétique humaine de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Université McGill et le département de génétique médicale du Centre universitaire de santé McGill (CUSM) lancent un appel de candidatures afin de pourvoir </w:t>
      </w:r>
      <w:r w:rsidR="00EA6011">
        <w:rPr>
          <w:rFonts w:asciiTheme="majorHAnsi" w:hAnsiTheme="majorHAnsi"/>
          <w:sz w:val="20"/>
        </w:rPr>
        <w:t xml:space="preserve">à </w:t>
      </w:r>
      <w:r>
        <w:rPr>
          <w:rFonts w:asciiTheme="majorHAnsi" w:hAnsiTheme="majorHAnsi"/>
          <w:sz w:val="20"/>
        </w:rPr>
        <w:t>deux postes de professeur (clinicien) adjoint ou agrégé au sein du personnel académique contractuel (PAC) de l</w:t>
      </w:r>
      <w:r w:rsidR="00BD2549">
        <w:rPr>
          <w:rFonts w:asciiTheme="majorHAnsi" w:hAnsiTheme="majorHAnsi"/>
          <w:sz w:val="20"/>
        </w:rPr>
        <w:t xml:space="preserve">’institution. </w:t>
      </w:r>
      <w:r>
        <w:rPr>
          <w:rFonts w:asciiTheme="majorHAnsi" w:hAnsiTheme="majorHAnsi"/>
          <w:sz w:val="20"/>
        </w:rPr>
        <w:t>En outre, on recommandera la nomination des candidats retenus au poste de généticien médical à plein temps au Centre</w:t>
      </w:r>
      <w:r w:rsidR="00BD2549">
        <w:rPr>
          <w:rFonts w:asciiTheme="majorHAnsi" w:hAnsiTheme="majorHAnsi"/>
          <w:sz w:val="20"/>
        </w:rPr>
        <w:t xml:space="preserve"> universitaire de santé McGill.</w:t>
      </w:r>
      <w:r>
        <w:rPr>
          <w:rFonts w:asciiTheme="majorHAnsi" w:hAnsiTheme="majorHAnsi"/>
          <w:sz w:val="20"/>
        </w:rPr>
        <w:t xml:space="preserve">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 des candidats recherchés doit posséder de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expertise dans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 des domaines suivants : 1) génétique adulte; 2) génétique pédiatrique; 3) diagnostic prénatal; 4) génétique oncologique.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autre candidat doit détenir une expertise en matière de maladies héréditaires </w:t>
      </w:r>
      <w:r w:rsidR="00F53E4A">
        <w:rPr>
          <w:rFonts w:asciiTheme="majorHAnsi" w:hAnsiTheme="majorHAnsi"/>
          <w:sz w:val="20"/>
        </w:rPr>
        <w:t>du métabolisme osseux</w:t>
      </w:r>
      <w:r>
        <w:rPr>
          <w:rFonts w:asciiTheme="majorHAnsi" w:hAnsiTheme="majorHAnsi"/>
          <w:sz w:val="20"/>
        </w:rPr>
        <w:t xml:space="preserve"> et de</w:t>
      </w:r>
      <w:r w:rsidR="00F53E4A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 xml:space="preserve"> dysplasie</w:t>
      </w:r>
      <w:r w:rsidR="00EA6011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 xml:space="preserve"> squelettique</w:t>
      </w:r>
      <w:r w:rsidR="00EA6011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>. Le mandat de ce dernier sera partagé entre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Université McGill et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hôpital Shriners pour enfants – Canada. On attend du candidat retenu qu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il se consacre autant au travail clinique qu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à la recherche, en disposant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un accès au centre de recherche </w:t>
      </w:r>
      <w:r w:rsidR="00F53E4A">
        <w:rPr>
          <w:rFonts w:asciiTheme="majorHAnsi" w:hAnsiTheme="majorHAnsi"/>
          <w:sz w:val="20"/>
        </w:rPr>
        <w:t xml:space="preserve">de l’hôpital </w:t>
      </w:r>
      <w:r>
        <w:rPr>
          <w:rFonts w:asciiTheme="majorHAnsi" w:hAnsiTheme="majorHAnsi"/>
          <w:sz w:val="20"/>
        </w:rPr>
        <w:t xml:space="preserve">Shriners. </w:t>
      </w:r>
    </w:p>
    <w:p w14:paraId="39C93421" w14:textId="77777777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</w:p>
    <w:p w14:paraId="2493F81B" w14:textId="4DFBEE86" w:rsidR="00A77A10" w:rsidRPr="00A755B3" w:rsidRDefault="00D331DD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Le Centre universitaire de santé McGill (CUSM) a récemment subi une </w:t>
      </w:r>
      <w:r w:rsidR="00F53E4A">
        <w:rPr>
          <w:rFonts w:asciiTheme="majorHAnsi" w:hAnsiTheme="majorHAnsi"/>
          <w:sz w:val="20"/>
        </w:rPr>
        <w:t>transformation</w:t>
      </w:r>
      <w:r>
        <w:rPr>
          <w:rFonts w:asciiTheme="majorHAnsi" w:hAnsiTheme="majorHAnsi"/>
          <w:sz w:val="20"/>
        </w:rPr>
        <w:t xml:space="preserve"> historique en rassemblant ses soins pédiatriques et adultes, ses services prénataux et ses installations d</w:t>
      </w:r>
      <w:r w:rsidR="00BD2549">
        <w:rPr>
          <w:rFonts w:asciiTheme="majorHAnsi" w:hAnsiTheme="majorHAnsi"/>
          <w:sz w:val="20"/>
        </w:rPr>
        <w:t xml:space="preserve">e recherche sous un même toit. </w:t>
      </w:r>
      <w:r>
        <w:rPr>
          <w:rFonts w:asciiTheme="majorHAnsi" w:hAnsiTheme="majorHAnsi"/>
          <w:sz w:val="20"/>
        </w:rPr>
        <w:t>Bâti sur mesure, le nouveau site du CUSM réunit des installations de soins cliniques complets, de recherche et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enseignement dotées de technologies et de plateformes diagnostiques de pointe, dans un environnement interdisciplinaire stimulant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innovation. Par ailleurs,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hôpital Shriners a récemment ouvert ses portes dans un bâtiment </w:t>
      </w:r>
      <w:r w:rsidR="00F53E4A">
        <w:rPr>
          <w:rFonts w:asciiTheme="majorHAnsi" w:hAnsiTheme="majorHAnsi"/>
          <w:sz w:val="20"/>
        </w:rPr>
        <w:t>attenant a</w:t>
      </w:r>
      <w:r>
        <w:rPr>
          <w:rFonts w:asciiTheme="majorHAnsi" w:hAnsiTheme="majorHAnsi"/>
          <w:sz w:val="20"/>
        </w:rPr>
        <w:t>u CUSM.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établissement comprend un centre de recherche de grande taille et une unité de recherche clinique.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Université McGill figure parmi les principaux établissements universitaires canadiens axés sur la recherche et accueille des étudiants provenant de plus de 140 pays.</w:t>
      </w:r>
    </w:p>
    <w:p w14:paraId="5BA1E8BE" w14:textId="77777777" w:rsidR="00A77A10" w:rsidRPr="00A755B3" w:rsidRDefault="00A77A10" w:rsidP="009873E4">
      <w:pPr>
        <w:jc w:val="both"/>
        <w:rPr>
          <w:rFonts w:asciiTheme="majorHAnsi" w:hAnsiTheme="majorHAnsi"/>
          <w:sz w:val="20"/>
        </w:rPr>
      </w:pPr>
    </w:p>
    <w:p w14:paraId="7AB98184" w14:textId="6013F2D2" w:rsidR="00ED2105" w:rsidRPr="00A755B3" w:rsidRDefault="00D331DD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équipe clinique déjà en place au département de génétique médicale comprend sept généticiens médicaux possédant une expérience et une expertise en dysmorphologie, en neurogénétique, en génétique oncologique, en </w:t>
      </w:r>
      <w:r w:rsidR="00F53E4A">
        <w:rPr>
          <w:rFonts w:asciiTheme="majorHAnsi" w:hAnsiTheme="majorHAnsi"/>
          <w:sz w:val="20"/>
        </w:rPr>
        <w:t>erreurs innées du métabolisme</w:t>
      </w:r>
      <w:r>
        <w:rPr>
          <w:rFonts w:asciiTheme="majorHAnsi" w:hAnsiTheme="majorHAnsi"/>
          <w:sz w:val="20"/>
        </w:rPr>
        <w:t xml:space="preserve">, en </w:t>
      </w:r>
      <w:r w:rsidR="00F53E4A">
        <w:rPr>
          <w:rFonts w:asciiTheme="majorHAnsi" w:hAnsiTheme="majorHAnsi"/>
          <w:sz w:val="20"/>
        </w:rPr>
        <w:t>maladies du tissu conjonctif</w:t>
      </w:r>
      <w:r>
        <w:rPr>
          <w:rFonts w:asciiTheme="majorHAnsi" w:hAnsiTheme="majorHAnsi"/>
          <w:sz w:val="20"/>
        </w:rPr>
        <w:t>, en génodermatose</w:t>
      </w:r>
      <w:r w:rsidR="00F53E4A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>, en dysplasie squelettique et en diagnostic prénatal, en plus de neuf conseillers génétiques. Ce département du CUSM offre également des services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analyses diagnostiques en matière de génétique moléculaire, de génétique biochimique et de cytogénétique.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hôpital Shriners abrite un éventail de cliniques spécialisées visant à traiter les malformations et les maladies du système musculo</w:t>
      </w:r>
      <w:r w:rsidR="00F53E4A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 xml:space="preserve">squelettique. Son centre de recherche est une figure de proue en ce qui </w:t>
      </w:r>
      <w:r w:rsidR="00F53E4A">
        <w:rPr>
          <w:rFonts w:asciiTheme="majorHAnsi" w:hAnsiTheme="majorHAnsi"/>
          <w:sz w:val="20"/>
        </w:rPr>
        <w:t>a</w:t>
      </w:r>
      <w:r>
        <w:rPr>
          <w:rFonts w:asciiTheme="majorHAnsi" w:hAnsiTheme="majorHAnsi"/>
          <w:sz w:val="20"/>
        </w:rPr>
        <w:t xml:space="preserve"> trait à la biologie</w:t>
      </w:r>
      <w:r w:rsidR="00F53E4A">
        <w:rPr>
          <w:rFonts w:asciiTheme="majorHAnsi" w:hAnsiTheme="majorHAnsi"/>
          <w:sz w:val="20"/>
        </w:rPr>
        <w:t>,</w:t>
      </w:r>
      <w:r>
        <w:rPr>
          <w:rFonts w:asciiTheme="majorHAnsi" w:hAnsiTheme="majorHAnsi"/>
          <w:sz w:val="20"/>
        </w:rPr>
        <w:t xml:space="preserve"> l</w:t>
      </w:r>
      <w:r w:rsidR="00BD2549">
        <w:rPr>
          <w:rFonts w:asciiTheme="majorHAnsi" w:hAnsiTheme="majorHAnsi"/>
          <w:sz w:val="20"/>
        </w:rPr>
        <w:t>’</w:t>
      </w:r>
      <w:r w:rsidR="00F53E4A">
        <w:rPr>
          <w:rFonts w:asciiTheme="majorHAnsi" w:hAnsiTheme="majorHAnsi"/>
          <w:sz w:val="20"/>
        </w:rPr>
        <w:t>évaluation et le</w:t>
      </w:r>
      <w:r>
        <w:rPr>
          <w:rFonts w:asciiTheme="majorHAnsi" w:hAnsiTheme="majorHAnsi"/>
          <w:sz w:val="20"/>
        </w:rPr>
        <w:t xml:space="preserve"> traitement des maladies rares des os.</w:t>
      </w:r>
    </w:p>
    <w:p w14:paraId="4B58E545" w14:textId="39AAB0FF" w:rsidR="00D331DD" w:rsidRPr="00A755B3" w:rsidRDefault="00ED2105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</w:p>
    <w:p w14:paraId="2C605D90" w14:textId="499CAC11" w:rsidR="00D331DD" w:rsidRPr="00A755B3" w:rsidRDefault="00D331DD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Le département </w:t>
      </w:r>
      <w:r w:rsidR="00F53E4A">
        <w:rPr>
          <w:rFonts w:asciiTheme="majorHAnsi" w:hAnsiTheme="majorHAnsi"/>
          <w:sz w:val="20"/>
        </w:rPr>
        <w:t>offre</w:t>
      </w:r>
      <w:r>
        <w:rPr>
          <w:rFonts w:asciiTheme="majorHAnsi" w:hAnsiTheme="majorHAnsi"/>
          <w:sz w:val="20"/>
        </w:rPr>
        <w:t xml:space="preserve"> un programme de résidence homologué par le Collège royal des médecins et chirurgiens du Canada, des programmes de </w:t>
      </w:r>
      <w:r w:rsidR="00F53E4A">
        <w:rPr>
          <w:rFonts w:asciiTheme="majorHAnsi" w:hAnsiTheme="majorHAnsi"/>
          <w:sz w:val="20"/>
        </w:rPr>
        <w:t>formation</w:t>
      </w:r>
      <w:r>
        <w:rPr>
          <w:rFonts w:asciiTheme="majorHAnsi" w:hAnsiTheme="majorHAnsi"/>
          <w:sz w:val="20"/>
        </w:rPr>
        <w:t xml:space="preserve"> en génétique fondamentale et appliquée du Collège canadien de</w:t>
      </w:r>
      <w:r w:rsidR="00F53E4A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 xml:space="preserve"> généticiens médicaux ainsi qu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une maîtrise ès sciences en conseil génétique. Plusieurs membres du département ont mis en œuvre des programmes de recherche indépendants dans des domaines liés à la recherche clinique ou théorique.</w:t>
      </w:r>
    </w:p>
    <w:p w14:paraId="07F21A75" w14:textId="77777777" w:rsidR="00D331DD" w:rsidRPr="00A755B3" w:rsidRDefault="00D331DD" w:rsidP="009873E4">
      <w:pPr>
        <w:jc w:val="both"/>
        <w:rPr>
          <w:rFonts w:asciiTheme="majorHAnsi" w:hAnsiTheme="majorHAnsi"/>
          <w:sz w:val="20"/>
        </w:rPr>
      </w:pPr>
    </w:p>
    <w:p w14:paraId="6DEDB65E" w14:textId="5FECA28D" w:rsidR="008F0D42" w:rsidRPr="00A755B3" w:rsidRDefault="00D331DD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Les candidats retenus seront intéressés à la fois par la pratique clinique,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enseignement et la recherche. Ils devront être diplômés en médecine (M.D.) et admissibles au permis d</w:t>
      </w:r>
      <w:r w:rsidR="00BD2549">
        <w:rPr>
          <w:rFonts w:asciiTheme="majorHAnsi" w:hAnsiTheme="majorHAnsi"/>
          <w:sz w:val="20"/>
        </w:rPr>
        <w:t>’</w:t>
      </w:r>
      <w:r w:rsidR="00F53E4A">
        <w:rPr>
          <w:rFonts w:asciiTheme="majorHAnsi" w:hAnsiTheme="majorHAnsi"/>
          <w:sz w:val="20"/>
        </w:rPr>
        <w:t>exercice de la médecine</w:t>
      </w:r>
      <w:r>
        <w:rPr>
          <w:rFonts w:asciiTheme="majorHAnsi" w:hAnsiTheme="majorHAnsi"/>
          <w:sz w:val="20"/>
        </w:rPr>
        <w:t xml:space="preserve"> dans la province de Québec. Les candidats homologués par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American Board of Medical Genetics doivent pouvoir recevoir une certification équivalente de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une des deux associations canadiennes (le Collège royal des médecins et chirurgiens du Canada ou le Collège canadien de</w:t>
      </w:r>
      <w:r w:rsidR="00F53E4A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 xml:space="preserve"> généticiens médicaux). La connaissance fonctionnelle du français constitue un atout. Les candidats intéressés par un poste au sein de nos laboratoires diagnostiques doivent également être admissibles à la certification du Collège canadien de</w:t>
      </w:r>
      <w:r w:rsidR="00F53E4A">
        <w:rPr>
          <w:rFonts w:asciiTheme="majorHAnsi" w:hAnsiTheme="majorHAnsi"/>
          <w:sz w:val="20"/>
        </w:rPr>
        <w:t>s</w:t>
      </w:r>
      <w:r>
        <w:rPr>
          <w:rFonts w:asciiTheme="majorHAnsi" w:hAnsiTheme="majorHAnsi"/>
          <w:sz w:val="20"/>
        </w:rPr>
        <w:t xml:space="preserve"> généticiens médicaux.</w:t>
      </w:r>
    </w:p>
    <w:p w14:paraId="1D1EC2BD" w14:textId="77777777" w:rsidR="00AC4500" w:rsidRPr="00A755B3" w:rsidRDefault="00AC4500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</w:p>
    <w:p w14:paraId="6DB62778" w14:textId="65C384D3" w:rsidR="00AC4500" w:rsidRPr="00A755B3" w:rsidRDefault="00AC4500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Style w:val="bumpedfont15"/>
          <w:rFonts w:asciiTheme="majorHAnsi" w:hAnsiTheme="majorHAnsi"/>
          <w:sz w:val="20"/>
        </w:rPr>
        <w:lastRenderedPageBreak/>
        <w:t>En tant que membre du département de génétique humaine de la faculté de médecine de l</w:t>
      </w:r>
      <w:r w:rsidR="00BD2549">
        <w:rPr>
          <w:rStyle w:val="bumpedfont15"/>
          <w:rFonts w:asciiTheme="majorHAnsi" w:hAnsiTheme="majorHAnsi"/>
          <w:sz w:val="20"/>
        </w:rPr>
        <w:t>’</w:t>
      </w:r>
      <w:r>
        <w:rPr>
          <w:rStyle w:val="bumpedfont15"/>
          <w:rFonts w:asciiTheme="majorHAnsi" w:hAnsiTheme="majorHAnsi"/>
          <w:sz w:val="20"/>
        </w:rPr>
        <w:t>Université McGill et du département de génétique médicale du CUSM, vous vous verrez attribuer des responsabilités cliniques, a</w:t>
      </w:r>
      <w:r w:rsidR="00BD2549">
        <w:rPr>
          <w:rStyle w:val="bumpedfont15"/>
          <w:rFonts w:asciiTheme="majorHAnsi" w:hAnsiTheme="majorHAnsi"/>
          <w:sz w:val="20"/>
        </w:rPr>
        <w:t xml:space="preserve">dministratives et académiques. </w:t>
      </w:r>
      <w:r>
        <w:rPr>
          <w:rStyle w:val="bumpedfont15"/>
          <w:rFonts w:asciiTheme="majorHAnsi" w:hAnsiTheme="majorHAnsi"/>
          <w:sz w:val="20"/>
        </w:rPr>
        <w:t xml:space="preserve">Dans le cadre de vos activités </w:t>
      </w:r>
      <w:r w:rsidR="00F53E4A">
        <w:rPr>
          <w:rStyle w:val="bumpedfont15"/>
          <w:rFonts w:asciiTheme="majorHAnsi" w:hAnsiTheme="majorHAnsi"/>
          <w:sz w:val="20"/>
        </w:rPr>
        <w:t>cliniques</w:t>
      </w:r>
      <w:r>
        <w:rPr>
          <w:rStyle w:val="bumpedfont15"/>
          <w:rFonts w:asciiTheme="majorHAnsi" w:hAnsiTheme="majorHAnsi"/>
          <w:sz w:val="20"/>
        </w:rPr>
        <w:t>, vous prendrez en charge certains patients du service de génétique médicale du CUSM en consultation externe et partagerez la garde des patients hospitalisés avec vos collègues. </w:t>
      </w:r>
    </w:p>
    <w:p w14:paraId="00151305" w14:textId="77777777" w:rsidR="00AC4500" w:rsidRDefault="00AC4500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 </w:t>
      </w:r>
    </w:p>
    <w:p w14:paraId="40B0E94C" w14:textId="77777777" w:rsidR="00783B72" w:rsidRDefault="00783B72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</w:p>
    <w:p w14:paraId="22FF721E" w14:textId="77777777" w:rsidR="00783B72" w:rsidRDefault="00783B72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</w:p>
    <w:p w14:paraId="1E3038A9" w14:textId="77777777" w:rsidR="00783B72" w:rsidRPr="00A755B3" w:rsidRDefault="00783B72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</w:p>
    <w:p w14:paraId="6ADBF058" w14:textId="77777777" w:rsidR="00CE1C7B" w:rsidRDefault="00CE1C7B" w:rsidP="009873E4">
      <w:pPr>
        <w:pStyle w:val="s9"/>
        <w:spacing w:before="0" w:beforeAutospacing="0" w:after="0" w:afterAutospacing="0"/>
        <w:jc w:val="both"/>
        <w:rPr>
          <w:rStyle w:val="bumpedfont15"/>
          <w:rFonts w:asciiTheme="majorHAnsi" w:hAnsiTheme="majorHAnsi"/>
          <w:sz w:val="20"/>
        </w:rPr>
      </w:pPr>
    </w:p>
    <w:p w14:paraId="12A06232" w14:textId="77777777" w:rsidR="00CE1C7B" w:rsidRDefault="00CE1C7B" w:rsidP="009873E4">
      <w:pPr>
        <w:pStyle w:val="s9"/>
        <w:spacing w:before="0" w:beforeAutospacing="0" w:after="0" w:afterAutospacing="0"/>
        <w:jc w:val="both"/>
        <w:rPr>
          <w:rStyle w:val="bumpedfont15"/>
          <w:rFonts w:asciiTheme="majorHAnsi" w:hAnsiTheme="majorHAnsi"/>
          <w:sz w:val="20"/>
        </w:rPr>
      </w:pPr>
    </w:p>
    <w:p w14:paraId="43875400" w14:textId="1725ADBA" w:rsidR="00AC4500" w:rsidRPr="00A755B3" w:rsidRDefault="00E53DA0" w:rsidP="009873E4">
      <w:pPr>
        <w:pStyle w:val="s9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rStyle w:val="bumpedfont15"/>
          <w:rFonts w:asciiTheme="majorHAnsi" w:hAnsiTheme="majorHAnsi"/>
          <w:sz w:val="20"/>
        </w:rPr>
        <w:t xml:space="preserve">Ce mandat pourra initialement </w:t>
      </w:r>
      <w:r w:rsidR="00BF4552">
        <w:rPr>
          <w:rStyle w:val="bumpedfont15"/>
          <w:rFonts w:asciiTheme="majorHAnsi" w:hAnsiTheme="majorHAnsi"/>
          <w:sz w:val="20"/>
        </w:rPr>
        <w:t>être d’une</w:t>
      </w:r>
      <w:r>
        <w:rPr>
          <w:rStyle w:val="bumpedfont15"/>
          <w:rFonts w:asciiTheme="majorHAnsi" w:hAnsiTheme="majorHAnsi"/>
          <w:sz w:val="20"/>
        </w:rPr>
        <w:t xml:space="preserve"> </w:t>
      </w:r>
      <w:r w:rsidR="00BF4552">
        <w:rPr>
          <w:rStyle w:val="bumpedfont15"/>
          <w:rFonts w:asciiTheme="majorHAnsi" w:hAnsiTheme="majorHAnsi"/>
          <w:sz w:val="20"/>
        </w:rPr>
        <w:t>durée de un</w:t>
      </w:r>
      <w:r>
        <w:rPr>
          <w:rStyle w:val="bumpedfont15"/>
          <w:rFonts w:asciiTheme="majorHAnsi" w:hAnsiTheme="majorHAnsi"/>
          <w:sz w:val="20"/>
        </w:rPr>
        <w:t xml:space="preserve"> à trois ans</w:t>
      </w:r>
      <w:r w:rsidR="00BF4552">
        <w:rPr>
          <w:rStyle w:val="bumpedfont15"/>
          <w:rFonts w:asciiTheme="majorHAnsi" w:hAnsiTheme="majorHAnsi"/>
          <w:sz w:val="20"/>
        </w:rPr>
        <w:t>, renouvelable.</w:t>
      </w:r>
      <w:r>
        <w:rPr>
          <w:rStyle w:val="bumpedfont15"/>
          <w:rFonts w:asciiTheme="majorHAnsi" w:hAnsiTheme="majorHAnsi"/>
          <w:sz w:val="20"/>
        </w:rPr>
        <w:t xml:space="preserve"> </w:t>
      </w:r>
      <w:r w:rsidR="00BF4552">
        <w:rPr>
          <w:rStyle w:val="bumpedfont15"/>
          <w:rFonts w:asciiTheme="majorHAnsi" w:hAnsiTheme="majorHAnsi"/>
          <w:sz w:val="20"/>
        </w:rPr>
        <w:t>Le salaire connexe proviendra de la rémunération de</w:t>
      </w:r>
      <w:r>
        <w:rPr>
          <w:rStyle w:val="bumpedfont15"/>
          <w:rFonts w:asciiTheme="majorHAnsi" w:hAnsiTheme="majorHAnsi"/>
          <w:sz w:val="20"/>
        </w:rPr>
        <w:t>s activités cliniques, académiques et administratives au CUSM et à l</w:t>
      </w:r>
      <w:r w:rsidR="00BD2549">
        <w:rPr>
          <w:rStyle w:val="bumpedfont15"/>
          <w:rFonts w:asciiTheme="majorHAnsi" w:hAnsiTheme="majorHAnsi"/>
          <w:sz w:val="20"/>
        </w:rPr>
        <w:t>’</w:t>
      </w:r>
      <w:r>
        <w:rPr>
          <w:rStyle w:val="bumpedfont15"/>
          <w:rFonts w:asciiTheme="majorHAnsi" w:hAnsiTheme="majorHAnsi"/>
          <w:sz w:val="20"/>
        </w:rPr>
        <w:t>hôpital Shriners, selon les modalités de « rémunération mixte » définies par la Régie de l</w:t>
      </w:r>
      <w:r w:rsidR="00BD2549">
        <w:rPr>
          <w:rStyle w:val="bumpedfont15"/>
          <w:rFonts w:asciiTheme="majorHAnsi" w:hAnsiTheme="majorHAnsi"/>
          <w:sz w:val="20"/>
        </w:rPr>
        <w:t>’</w:t>
      </w:r>
      <w:r>
        <w:rPr>
          <w:rStyle w:val="bumpedfont15"/>
          <w:rFonts w:asciiTheme="majorHAnsi" w:hAnsiTheme="majorHAnsi"/>
          <w:sz w:val="20"/>
        </w:rPr>
        <w:t xml:space="preserve">assurance maladie du Québec (en génétique adulte et pédiatrique). </w:t>
      </w:r>
    </w:p>
    <w:p w14:paraId="40218921" w14:textId="77777777" w:rsidR="00AC4500" w:rsidRPr="00A755B3" w:rsidRDefault="00AC4500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</w:p>
    <w:p w14:paraId="5321B5CB" w14:textId="3A8A2B89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Les personnes intéressées sont invitées à faire parvenir une lettre de présentation faisant état de </w:t>
      </w:r>
      <w:r w:rsidR="007509C8">
        <w:rPr>
          <w:rFonts w:asciiTheme="majorHAnsi" w:hAnsiTheme="majorHAnsi"/>
          <w:sz w:val="20"/>
        </w:rPr>
        <w:t xml:space="preserve">leurs aptitudes cliniques, de </w:t>
      </w:r>
      <w:r>
        <w:rPr>
          <w:rFonts w:asciiTheme="majorHAnsi" w:hAnsiTheme="majorHAnsi"/>
          <w:sz w:val="20"/>
        </w:rPr>
        <w:t>leur travail de recherche et de leur intérêt en matière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 xml:space="preserve">enseignement, un curriculum vitæ ainsi que les noms, adresses et numéros de téléphone de trois </w:t>
      </w:r>
      <w:r w:rsidR="007509C8">
        <w:rPr>
          <w:rFonts w:asciiTheme="majorHAnsi" w:hAnsiTheme="majorHAnsi"/>
          <w:sz w:val="20"/>
        </w:rPr>
        <w:t>référents à</w:t>
      </w:r>
      <w:r>
        <w:rPr>
          <w:rFonts w:asciiTheme="majorHAnsi" w:hAnsiTheme="majorHAnsi"/>
          <w:sz w:val="20"/>
        </w:rPr>
        <w:t xml:space="preserve"> : </w:t>
      </w:r>
    </w:p>
    <w:p w14:paraId="4F481532" w14:textId="77777777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</w:p>
    <w:p w14:paraId="1B6200F3" w14:textId="316266FE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</w:t>
      </w:r>
      <w:r>
        <w:rPr>
          <w:rFonts w:asciiTheme="majorHAnsi" w:hAnsiTheme="majorHAnsi"/>
          <w:sz w:val="20"/>
          <w:vertAlign w:val="superscript"/>
        </w:rPr>
        <w:t>r</w:t>
      </w:r>
      <w:r>
        <w:rPr>
          <w:rFonts w:asciiTheme="majorHAnsi" w:hAnsiTheme="majorHAnsi"/>
          <w:sz w:val="20"/>
        </w:rPr>
        <w:t xml:space="preserve"> Guy Rouleau, directeur </w:t>
      </w:r>
    </w:p>
    <w:p w14:paraId="19CB1F54" w14:textId="62B7E2D7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Département de génétique médicale, CUSM</w:t>
      </w:r>
    </w:p>
    <w:p w14:paraId="207DA412" w14:textId="77777777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a/s de Kandace Springer</w:t>
      </w:r>
    </w:p>
    <w:p w14:paraId="0F0C161E" w14:textId="77777777" w:rsidR="008F0D42" w:rsidRPr="00A755B3" w:rsidRDefault="00CE1C7B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hyperlink r:id="rId7">
        <w:r w:rsidR="009A6304">
          <w:rPr>
            <w:rStyle w:val="Hyperlink"/>
            <w:rFonts w:asciiTheme="majorHAnsi" w:hAnsiTheme="majorHAnsi"/>
            <w:sz w:val="20"/>
          </w:rPr>
          <w:t>kandace.springer@mcgill.ca</w:t>
        </w:r>
      </w:hyperlink>
    </w:p>
    <w:p w14:paraId="5DB92CA0" w14:textId="77777777" w:rsidR="008F0D42" w:rsidRPr="00A755B3" w:rsidRDefault="008F0D42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</w:p>
    <w:p w14:paraId="01794E89" w14:textId="42AC1E68" w:rsidR="00255C5F" w:rsidRDefault="00CF21E7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iCs/>
          <w:sz w:val="20"/>
        </w:rPr>
      </w:pPr>
      <w:r>
        <w:rPr>
          <w:rFonts w:asciiTheme="majorHAnsi" w:hAnsiTheme="majorHAnsi"/>
          <w:sz w:val="20"/>
        </w:rPr>
        <w:t>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Université McGill et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hôpital Shriners souscrivent à la diversité et à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équité en matière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emploi. Ils accueillent favorablement les demandes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emploi des peuples autochtones, des minorités visibles, des minorités ethniques, des personnes handicapées, des femmes, des personnes de toutes orientations et identités sexuelles et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autres personnes qui pourraient contribuer à une plus grande diversité.</w:t>
      </w:r>
    </w:p>
    <w:p w14:paraId="4BB3C719" w14:textId="77777777" w:rsidR="00255C5F" w:rsidRDefault="00255C5F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iCs/>
          <w:sz w:val="20"/>
        </w:rPr>
      </w:pPr>
    </w:p>
    <w:p w14:paraId="40F4FC2C" w14:textId="1220DA12" w:rsidR="00A755B3" w:rsidRPr="009873E4" w:rsidRDefault="00A755B3" w:rsidP="009873E4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Tous les candidats qualifiés sont encouragés à postuler; la priorité sera toutefois accordée aux Canadiens ainsi qu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aux résidents permanents, conformément aux exigences de l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immigration canadienne.</w:t>
      </w:r>
    </w:p>
    <w:p w14:paraId="12D1B9B8" w14:textId="77777777" w:rsidR="0094397E" w:rsidRPr="00A755B3" w:rsidRDefault="0094397E" w:rsidP="009873E4">
      <w:pPr>
        <w:jc w:val="both"/>
        <w:rPr>
          <w:rFonts w:asciiTheme="majorHAnsi" w:hAnsiTheme="majorHAnsi"/>
          <w:sz w:val="20"/>
        </w:rPr>
      </w:pPr>
    </w:p>
    <w:p w14:paraId="12CE8357" w14:textId="2DD0BB0B" w:rsidR="002C057B" w:rsidRPr="00A755B3" w:rsidRDefault="009873E4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Veuillez soumettre votre candidature dans les trente jours suivant la parution de cette offre.</w:t>
      </w:r>
      <w:r>
        <w:rPr>
          <w:rFonts w:asciiTheme="majorHAnsi" w:hAnsiTheme="majorHAnsi"/>
          <w:i/>
          <w:color w:val="FF0000"/>
          <w:sz w:val="20"/>
        </w:rPr>
        <w:t xml:space="preserve"> </w:t>
      </w:r>
      <w:r>
        <w:rPr>
          <w:rFonts w:asciiTheme="majorHAnsi" w:hAnsiTheme="majorHAnsi"/>
          <w:sz w:val="20"/>
        </w:rPr>
        <w:t>Les candidatures seront acceptées jusqu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à ce que les postes soient pourvus. La date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entrée en fonction sera déterminée d</w:t>
      </w:r>
      <w:r w:rsidR="00BD2549">
        <w:rPr>
          <w:rFonts w:asciiTheme="majorHAnsi" w:hAnsiTheme="majorHAnsi"/>
          <w:sz w:val="20"/>
        </w:rPr>
        <w:t>’</w:t>
      </w:r>
      <w:r>
        <w:rPr>
          <w:rFonts w:asciiTheme="majorHAnsi" w:hAnsiTheme="majorHAnsi"/>
          <w:sz w:val="20"/>
        </w:rPr>
        <w:t>un commun accord.</w:t>
      </w:r>
    </w:p>
    <w:p w14:paraId="17915CA0" w14:textId="77777777" w:rsidR="002C057B" w:rsidRPr="00A755B3" w:rsidRDefault="002C057B" w:rsidP="009873E4">
      <w:pPr>
        <w:jc w:val="both"/>
        <w:rPr>
          <w:rFonts w:asciiTheme="majorHAnsi" w:hAnsiTheme="majorHAnsi"/>
          <w:sz w:val="20"/>
        </w:rPr>
      </w:pPr>
    </w:p>
    <w:p w14:paraId="3E9B2C8F" w14:textId="26FDDC0F" w:rsidR="002C057B" w:rsidRPr="00A755B3" w:rsidRDefault="002C057B" w:rsidP="009873E4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Pour en apprendre davantage sur le Centre universitaire de santé McGill et ses perspectives</w:t>
      </w:r>
      <w:r w:rsidR="00BD2549">
        <w:rPr>
          <w:rFonts w:asciiTheme="majorHAnsi" w:hAnsiTheme="majorHAnsi"/>
          <w:sz w:val="20"/>
        </w:rPr>
        <w:t xml:space="preserve"> de carrière, visitez le site </w:t>
      </w:r>
      <w:hyperlink r:id="rId8">
        <w:r>
          <w:rPr>
            <w:rStyle w:val="Hyperlink"/>
            <w:rFonts w:asciiTheme="majorHAnsi" w:hAnsiTheme="majorHAnsi"/>
            <w:sz w:val="20"/>
          </w:rPr>
          <w:t>https://muhc.ca</w:t>
        </w:r>
      </w:hyperlink>
      <w:r w:rsidR="00BD2549">
        <w:rPr>
          <w:rFonts w:asciiTheme="majorHAnsi" w:hAnsiTheme="majorHAnsi"/>
          <w:sz w:val="20"/>
        </w:rPr>
        <w:t>.</w:t>
      </w:r>
    </w:p>
    <w:p w14:paraId="79542AB4" w14:textId="77777777" w:rsidR="00A755B3" w:rsidRPr="00741D82" w:rsidRDefault="00A755B3" w:rsidP="009873E4">
      <w:pPr>
        <w:jc w:val="both"/>
        <w:rPr>
          <w:sz w:val="22"/>
          <w:szCs w:val="22"/>
        </w:rPr>
      </w:pPr>
    </w:p>
    <w:sectPr w:rsidR="00A755B3" w:rsidRPr="00741D82" w:rsidSect="00CE1C7B">
      <w:pgSz w:w="12240" w:h="15840"/>
      <w:pgMar w:top="36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48AA" w14:textId="77777777" w:rsidR="00F85319" w:rsidRDefault="00F85319" w:rsidP="007E0053">
      <w:r>
        <w:separator/>
      </w:r>
    </w:p>
  </w:endnote>
  <w:endnote w:type="continuationSeparator" w:id="0">
    <w:p w14:paraId="79B53636" w14:textId="77777777" w:rsidR="00F85319" w:rsidRDefault="00F85319" w:rsidP="007E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B319D" w14:textId="77777777" w:rsidR="00F85319" w:rsidRDefault="00F85319" w:rsidP="007E0053">
      <w:r>
        <w:separator/>
      </w:r>
    </w:p>
  </w:footnote>
  <w:footnote w:type="continuationSeparator" w:id="0">
    <w:p w14:paraId="52E5E159" w14:textId="77777777" w:rsidR="00F85319" w:rsidRDefault="00F85319" w:rsidP="007E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7E"/>
    <w:rsid w:val="000340E6"/>
    <w:rsid w:val="0012296C"/>
    <w:rsid w:val="001248E7"/>
    <w:rsid w:val="001A2B73"/>
    <w:rsid w:val="001E70DA"/>
    <w:rsid w:val="001F3017"/>
    <w:rsid w:val="0021119A"/>
    <w:rsid w:val="002377D6"/>
    <w:rsid w:val="00237B7B"/>
    <w:rsid w:val="00255C5F"/>
    <w:rsid w:val="0027796D"/>
    <w:rsid w:val="002C057B"/>
    <w:rsid w:val="00365BDF"/>
    <w:rsid w:val="003D46BF"/>
    <w:rsid w:val="003F7D40"/>
    <w:rsid w:val="00442B06"/>
    <w:rsid w:val="00472C59"/>
    <w:rsid w:val="005E4DF4"/>
    <w:rsid w:val="00623C3D"/>
    <w:rsid w:val="00632468"/>
    <w:rsid w:val="0067004B"/>
    <w:rsid w:val="0069541F"/>
    <w:rsid w:val="00741D82"/>
    <w:rsid w:val="007509C8"/>
    <w:rsid w:val="00783B72"/>
    <w:rsid w:val="007A65E4"/>
    <w:rsid w:val="007E0053"/>
    <w:rsid w:val="007E7F40"/>
    <w:rsid w:val="0084588B"/>
    <w:rsid w:val="00847E09"/>
    <w:rsid w:val="00885601"/>
    <w:rsid w:val="008D30B5"/>
    <w:rsid w:val="008F0D42"/>
    <w:rsid w:val="0094397E"/>
    <w:rsid w:val="00963F53"/>
    <w:rsid w:val="009873E4"/>
    <w:rsid w:val="009A1614"/>
    <w:rsid w:val="009A6304"/>
    <w:rsid w:val="009C5FC3"/>
    <w:rsid w:val="00A12749"/>
    <w:rsid w:val="00A1708A"/>
    <w:rsid w:val="00A17484"/>
    <w:rsid w:val="00A755B3"/>
    <w:rsid w:val="00A77A10"/>
    <w:rsid w:val="00AA0E42"/>
    <w:rsid w:val="00AC4500"/>
    <w:rsid w:val="00B3004B"/>
    <w:rsid w:val="00BD2549"/>
    <w:rsid w:val="00BF4552"/>
    <w:rsid w:val="00C00610"/>
    <w:rsid w:val="00C172E1"/>
    <w:rsid w:val="00C7072D"/>
    <w:rsid w:val="00C766D1"/>
    <w:rsid w:val="00C8434C"/>
    <w:rsid w:val="00CE1C7B"/>
    <w:rsid w:val="00CF21E7"/>
    <w:rsid w:val="00D13E0B"/>
    <w:rsid w:val="00D331DD"/>
    <w:rsid w:val="00E10689"/>
    <w:rsid w:val="00E46B26"/>
    <w:rsid w:val="00E53DA0"/>
    <w:rsid w:val="00E73612"/>
    <w:rsid w:val="00EA6011"/>
    <w:rsid w:val="00ED2105"/>
    <w:rsid w:val="00F020E5"/>
    <w:rsid w:val="00F53E4A"/>
    <w:rsid w:val="00F744D8"/>
    <w:rsid w:val="00F85319"/>
    <w:rsid w:val="00FA21FE"/>
    <w:rsid w:val="00FB7D4F"/>
    <w:rsid w:val="00FD2A97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A2A61"/>
  <w15:docId w15:val="{CD7F9D17-1F2F-4FF8-AEDC-F7B3491A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05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E0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05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F0D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5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8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8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8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8B"/>
    <w:rPr>
      <w:rFonts w:ascii="Tahoma" w:eastAsia="Times New Roman" w:hAnsi="Tahoma" w:cs="Tahoma"/>
      <w:sz w:val="16"/>
      <w:szCs w:val="16"/>
    </w:rPr>
  </w:style>
  <w:style w:type="paragraph" w:customStyle="1" w:styleId="s9">
    <w:name w:val="s9"/>
    <w:basedOn w:val="Normal"/>
    <w:rsid w:val="00AC45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character" w:customStyle="1" w:styleId="bumpedfont15">
    <w:name w:val="bumpedfont15"/>
    <w:basedOn w:val="DefaultParagraphFont"/>
    <w:rsid w:val="00AC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hc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dace.springer@mcgill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Hg</dc:creator>
  <cp:lastModifiedBy>Kandace L. Springer, Ms.</cp:lastModifiedBy>
  <cp:revision>2</cp:revision>
  <cp:lastPrinted>2015-11-16T21:19:00Z</cp:lastPrinted>
  <dcterms:created xsi:type="dcterms:W3CDTF">2015-11-24T15:33:00Z</dcterms:created>
  <dcterms:modified xsi:type="dcterms:W3CDTF">2015-11-24T15:33:00Z</dcterms:modified>
</cp:coreProperties>
</file>